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E-7570/2016 vom 28. März 2017</w:t>
      </w:r>
    </w:p>
    <w:p>
      <w:r>
        <w:t>Bundesverwaltungsgericht, 2017-03-28, DE</w:t>
      </w:r>
    </w:p>
    <w:p>
      <w:r>
        <w:rPr>
          <w:b/>
        </w:rPr>
        <w:t xml:space="preserve">Quelle: </w:t>
      </w:r>
      <w:r>
        <w:t>https://mcp.opencaselaw.ch/entscheid/bvger_E-7570_2016</w:t>
      </w:r>
    </w:p>
    <w:p>
      <w:r>
        <w:t>FR: TAF E-7570/2016 du 28 mars 2017</w:t>
      </w:r>
    </w:p>
    <w:p>
      <w:r>
        <w:t>IT: TAF E-7570/2016 del 28 marzo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Beschwerde, die durch einen Koordinationsentscheid des Bundesverwaltungsgerichts offensichtlich unbegründet geworden ist,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geltend gemachten Verfolgungsvorbringen als den Anforderungen von Art. 3 AsylG an die Asylrelevanz nicht genügend, weshalb der Beschwerdeführer die Flüchtlingseigenschaft nicht erfülle. Er sei nie konkret zum Einzug in den Militärdienst aufgefordert worden. Zum Zeitpunkt seiner Ausreise sei er diesbezüglich nicht im Blickfeld der eritreischen Behörden gewesen. Alleine die Vermutung, früher oder später in den Militärdienst eingezogen zu werden, vermöge keine Furcht vor asylrelevanter Verfolgung zu begründen. Sodann würden für Personen, welche freiwillig nach Eritrea zurückkehren, die eritreischen Straftatbestände für die illegale Ausreise nicht zur Anwendung gelangen. Illegal Ausgereiste könnten straffrei zurückkehren, sofern sie bei Nichterfüllung ihrer nationalen Dienstpflicht die sogenannte Disporasteuer bezahlen und ein Reueformular unterzeichnen würden. Bei zwangsweisen Rückführungen müsse davon ausgegangen werden, dass der Nationaldienst-Status das wichtigste Kriterium für den Umgang der eritreischen Behörden mit Rückkehrern darstelle. Die illegale Ausreise spiele eine untergeordnete Rolle. Der Beschwerdeführer habe Eritrea als minderjährige und somit noch nicht dienstpflichtige Person verlassen, weshalb er nicht gegen die Proclamation on National Service von 1995 verstossen habe. Den Akten seien keine Hinweise zu entnehmen, dass er bei einer Rückkehr ernsthafte Nachteile zu gewärtigen hätte.</w:t>
      </w:r>
    </w:p>
    <w:p>
      <w:r>
        <w:rPr>
          <w:b/>
        </w:rPr>
        <w:t>E. 5.2</w:t>
      </w:r>
    </w:p>
    <w:p>
      <w:r>
        <w:t>Der Beschwerdeführer anerkennt den von der Vorinstanz erstellten Sachverhalt als korrekt, macht jedoch geltend, das SEM habe zu Unrecht seine illegale Ausreise nicht gewürdigt. Diese sei nicht als subjektiver Nachfluchtgrund anerkannt worden und die ständige Praxis des Bundesverwaltungsgerichts sei weder erwähnt noch berücksichtigt worden. Damit habe die Vorinstanz ihre Begründungspflicht verletzt, die Bindungswirkung der Rechtsprechung missachtet und mit der Nichtanerkennung der Flüchtlingseigenschaft unter anderem gegen Art. 2 und 3 AsylG, Art. 1 FK (SR 0.142.30) und Art. 3 EMRK verstossen. Weiter macht er geltend, die Vorinstanz habe die in BVGE 2010/54 aufgestellten Regeln für eine Praxisänderung klarerweise missachtet, indem sie ihre Praxisänderung nicht nur auf einzelne Asylverfahren, sondern generell angewendet habe. Sodann habe sie es unterlassen, in der angefochtenen Verfügung unmissverständlich klarzustellen, dass es sich dabei um ein Pilotverfahren handle, mit welchem bewusst von der publizierten Praxis des Bundesverwaltungsgerichts abgewichen werde.</w:t>
      </w:r>
    </w:p>
    <w:p>
      <w:r>
        <w:rPr>
          <w:b/>
        </w:rPr>
        <w:t>E. 6</w:t>
      </w:r>
    </w:p>
    <w:p>
      <w:r>
        <w:t>Das Bundesverwaltungsgericht hat in einem Koordinationsentscheid (Urteil des BVGer D-7898/2015 vom 30. Januar 2017 [als Referenzurteil publiziert]) die Zulässigkeit der durch die Vorinstanz vorgenommenen Praxisänderung bestätigt. Damit hat es auch implizit dem Vorgehen der Vorinstanz zugestimmt, weshalb der Beschwerdeführer aus BVGE 2010/54 nichts zu seinen Gunsten ableiten kann. Im Übrigen ist darauf hinzuweisen, dass sich BVGE 2010/54 mit der Frage der Zumutbarkeit des Vollzugs von Wegweisungen auseinandersetzt, vorliegend die Anerkennung der Flüchtlingseigenschaft Gegenstand des Beschwerdeverfahrens bildet und die langjährige bisherige Praxis der Vorinstanz nicht auf einem publizierten Koordinationsentscheid des Gerichts beruhte. Schliesslich hat die Vorinstanz die Praxisänderung dem Gericht vorgängig kommuniziert und die Öffentlichkeit durch die Medienkonferenz vom 23. Juni 2016 informiert. Die Vorgehensweise der Vorinstanz ist somit nicht zu beanstanden.</w:t>
      </w:r>
    </w:p>
    <w:p>
      <w:r>
        <w:rPr>
          <w:b/>
        </w:rPr>
        <w:t>E. 7.1</w:t>
      </w:r>
    </w:p>
    <w:p>
      <w:r>
        <w:t>Zu prüfen ist weiter, ob der Beschwerdeführer aufgrund des Umstandes, dass er Eritrea - wie behauptet - illegal verlassen hat (sogenannte Republikflucht), zum Flüchtling geworden ist, weil er sich nunmehr im Falle der Rückkehr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Wer sich darauf beruft, dass erst durch das illegale Verlassen des Heimat- oder Herkunftsstaats eine Gefährdungssituation geschaffen worden ist, macht sogenannte subjektive Nachfluchtgründe im Sinne von Art. 54 AsylG geltend. Personen mit subjektiven Nachfluchtgründen erhalten zwar gemäss Art. 54 AsylG kein Asyl, werden jedoch als Flüchtlinge vorläufig aufgenommen (vgl. BVGE 2009/28 E. 7.1).</w:t>
      </w:r>
    </w:p>
    <w:p>
      <w:r>
        <w:rPr>
          <w:b/>
        </w:rPr>
        <w:t>E. 7.2</w:t>
      </w:r>
    </w:p>
    <w:p>
      <w:r>
        <w:t>Die Frage der flüchtlingsrechtlichen Bedeutung der illegalen Ausreise aus Eritrea wurde im erwähnten Urteil D-7898/2015 vom 30. Januar 2017 geklärt. Darin wurde die bisherige Rechtsprechung aufgegeben, wonach eine illegale Ausreise aus Eritrea als subjektiver Nachfluchtgrund anzusehen war, weil illegal Ausgereiste bei einer Rückkehr nach Eritrea mit erheblichen Nachteilen im Sinne von Art. 3 AsylG rechnen mussten. Das Bundesverwaltungsgericht kam im erwähnten Urteil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7.3</w:t>
      </w:r>
    </w:p>
    <w:p>
      <w:r>
        <w:t>Solche Anknüpfungspunkte sind im Falle des Beschwerdeführers nicht vorhanden. Mangels entsprechender Anhaltspunkte ist nicht ersichtlich, weshalb er in den Augen des eritreischen Regimes aus anderen Gründen eine missliebige Person sein könnte. Allein die illegal erfolgte Ausreise vermag daher - ungeachtet der Frage nach deren Glaubhaftigkeit - keine Furcht vor einer zukünftigen flüchtlingsrechtlich relevanten Verfolgung zu begründen. Das SEM hat somit zu Recht festgestellt, der Beschwerdeführer erfülle die Flüchtlingseigenschaft nicht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Inhalt der Beschwerde näher einzugehen. Die Beschwerde ist abzuweisen.</w:t>
      </w:r>
    </w:p>
    <w:p>
      <w:r>
        <w:rPr>
          <w:b/>
        </w:rPr>
        <w:t>E. 10.1</w:t>
      </w:r>
    </w:p>
    <w:p>
      <w:r>
        <w:t>Bei diesem Ausgang des Verfahrens wären die Kosten dem Be-schwerdeführer aufzuerlegen (Art. 63 Abs. 1 VwVG). Auf deren Erhebung ist indes angesichts des mit Zwischenverfügung vom 19. Dezember 2016 gutgeheissenen Gesuchs um Gewährung der unentgeltlichen Rechtspflege zu verzichten.</w:t>
      </w:r>
    </w:p>
    <w:p>
      <w:r>
        <w:rPr>
          <w:b/>
        </w:rPr>
        <w:t>E. 10.2</w:t>
      </w:r>
    </w:p>
    <w:p>
      <w:r>
        <w:t>Mit Zwischenverfügung vom 19. Dezember 2016 wurde dem Beschwerdeführer ebenfalls die unentgeltliche Rechtsverbeiständung gewährt und Rechtsanwältin MLaw Jana Maletic als amtliche Rechtsbeiständin eingesetzt. Die notwendigerweise erwachsenen Parteikosten sind durch das Bundesverwaltungsgericht zu übernehmen (vgl. Art. 110a Abs. 1 AsylG i.V.m. Art. 9-14 des Reglements vom 21. Februar 2008 über die Kosten und Entschädigungen vor dem Bundesverwaltungsgericht [VGKE, SR 173.320.2]). Die Rechtsvertreterin macht ein Honorar in der Höhe von Fr. 654.- (inklusive Auslagen und Mehrwertsteuerzuschlag) geltend. Dies erscheint angemessen und ist ihr durch das Bundesverwaltungsgericht in der genannten Höhe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