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E-7561/2007 vom 26. August 2008</w:t>
      </w:r>
    </w:p>
    <w:p>
      <w:r>
        <w:t>Bundesverwaltungsgericht, 2008-08-26, DE</w:t>
      </w:r>
    </w:p>
    <w:p>
      <w:r>
        <w:rPr>
          <w:b/>
        </w:rPr>
        <w:t xml:space="preserve">Quelle: </w:t>
      </w:r>
      <w:r>
        <w:t>https://mcp.opencaselaw.ch/entscheid/bvger_E-7561_2007</w:t>
      </w:r>
    </w:p>
    <w:p>
      <w:r>
        <w:t>FR: TAF E-7561/2007 du 26 août 2008</w:t>
      </w:r>
    </w:p>
    <w:p>
      <w:r>
        <w:t>IT: TAF E-7561/2007 del 26 agosto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Abs. 1 und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w:t>
      </w:r>
    </w:p>
    <w:p>
      <w:r>
        <w:t>In der angefochtenen Verfügung wird ausgeführt, der Beschwerdeführer stamme aus Suleymanyia. In den drei von der kurdischen Regionalregierung kontrollierten Provinzen Dohuk, Erbil und Sulaymanyia sei die Sicherheitslage stabil. Eine nachhaltige Verschlechterung sei aus heutiger Sicht nicht zu erwarten. Bereits seien über 400 Personen mit Rückkehrhilfe des BFM in den Irak zurückgekehrt. Zudem würden mehrere direkte Flugverbindungen aus dem Ausland in den Nordirak bestehen, womit die Rückkehrenden nicht via den Zentralirak reisen müssten. Weiter hält das BFM fest, bereits in der Verfügung 4. September 2006 habe es dargelegt, dass die Vorbringen des Beschwerdeführers, wonach er ein Leben ohne Elektrizität, fliessendes Wasser und ohne Bildung nicht mehr ertragen könne, nicht asylrelevant seien. Die neu geltend gemachte Beziehung zu seiner Cousine und deren Tötung infolge einer Schwangerschaft sei als haltloses, nachgeschobenes Vorbringen zu qualifizieren. Es sei nicht einsichtlich, weshalb der Beschwerdeführer einen dermassen einschneidenden Vorfall wie einen Mord an seiner von ihm schwangeren Geliebten nicht bereits bei seiner Einreise angeführt habe. Sodann habe der Beschwerdeführer den grössten Teil seines Lebens in der Provinz Sulaymanyia verbracht. Er sei deshalb mit Sprache, Kultur, Lebens- und Arbeitsweisen an seinem Herkunftsort bestens vertraut. Die letzten Jahre vor der Ausreise habe er zusammen mit seiner Familie in der Landwirtschaft gearbeitet. Er sollte daher nach seiner Rückkehr in der Lage sei, die Sicherung seiner Existenz selbständig zu erarbeiten. Zudem verfüge er mit seinen Eltern und vier Geschwistern, die nach wie vor in der Provinz Sulaymanyia leben würden, über ein soziales Beziehungsnetz, das ihm zumindest in einer Anfangsphase unterstützend zur Seite stehen könne. Überdies sei darauf hinzuweisen, dass der Beschwerdeführer bei fristgemässer Ausreise vom Angebot der Rückkehrhilfe Gebrauch machen könne, was ihm die Reintegration erleichtern dürfte.</w:t>
      </w:r>
    </w:p>
    <w:p>
      <w:r>
        <w:rPr>
          <w:b/>
        </w:rPr>
        <w:t>E. 4.2</w:t>
      </w:r>
    </w:p>
    <w:p>
      <w:r>
        <w:t>In der Rechtsmitteleingabe wird die vorinstanzliche Lageeinschätzung unter Hinweis auf die täglichen Medienberichte bestritten. Es sei jederzeit mit einem Einmarsch der türkischen Streitkräfte in den Nordirak zu rechnen. Hinzu komme, dass der Beschwerdeführer aus ärmsten Verhältnissen stamme. Seine Familie wohne in einem Flüchtlingslager. Bei einer Rückkehr würde er zu einer zusätzlichen Belastung, welche die Existenzsicherung der ganzen Familie gefährde. Wegen der Affäre mit seiner Cousine könne er sodann nicht mehr auf den Rückhalt seiner Familie zählen.</w:t>
      </w:r>
    </w:p>
    <w:p>
      <w:r>
        <w:rPr>
          <w:b/>
        </w:rPr>
        <w:t>E. 4.3</w:t>
      </w:r>
    </w:p>
    <w:p>
      <w:r>
        <w:t>In der Vernehmlassung bewertet das BFM die Lageeinschätzung des Beschwerdeführers als übersteigert dargelegt. Weiter führt das BFM aus, es sei sich bewusst, dass die Reintegration nicht einfach sein werde und verweist erneut auf die Möglichkeit der Rückkehrhilfe. Diesen Ausführungen widerspricht der Beschwerdeführer in seiner Replik.</w:t>
      </w:r>
    </w:p>
    <w:p>
      <w:r>
        <w:rPr>
          <w:b/>
        </w:rPr>
        <w:t>E. 5.1</w:t>
      </w:r>
    </w:p>
    <w:p>
      <w:r>
        <w:t>Das Bundesverwaltungsgericht ist im Grundsatzurteil BVGE 2008/5 aufgrund einer umfassenden Beurteilung der aktuellen Situation in den nordirakischen Provinzen Dohuk, Sulaymanyia und Erbil zum Schluss gekommen, dass in diesen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in das durch die kurdische Regionalregierung ("Kurdistan Regional Government" [KRG]) dominierte Gebiet. Weiter wird im vorerwähnten Urteil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5.2</w:t>
      </w:r>
    </w:p>
    <w:p>
      <w:r>
        <w:t>Der Beschwerdeführer macht in der Rechtsmitteleingabe erstmals ein Verhältnis mit seiner Cousine geltend. Da seine Cousine einem anderen Mann versprochen gewesen sei, hätten sie nicht heiraten können. Nachdem seine Geliebte von ihm schwanger geworden sei, sei sie von ihren Verwandten getötet worden. Das BFM hat bereits in der angefochtenen Verfügung am Wahrheitsgehalt dieses Vorbringens gezweifelt. Auf Beschwerdeebene hat der Beschwerdeführer das Original des angeblichen Schwangerschaftstest sowie dessen deutsche Übersetzung eingereicht. Aus der Übersetzung geht hervor, dass es sich beim eingereichten Dokument entgegen den Ausführungen des Beschwerdeführers nicht um einen Schwangerschaftstest, sondern um einen Generalharnuntersuch bei einem Mann handelt. Vor diesem Hintergrund und weil der Beschwerdeführer trotz entsprechender Aufforderung durch den Instruktionsrichter keine weiteren Beweismittel betreffend seinen Ausführungen eingereicht hat, ist dieses Vorbringen insgesamt als nicht glaubhaft zu qualifizieren. Damit entbehren auch die weiteren Aussagen des Beschwerdeführers, wonach er sich aufgrund des Verhältnisses mit seiner Cousine vor der Ermordung durch die Verwandten seiner Cousine fürchte, jeglicher Grundlage.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hätte der Beschwerde-führer eine konkrete Gefahr ("real risk") nachweisen oder glaubhaft machen müssen,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Ebenfalls lässt die allgemeine Menschenrechtssituation im Nordirak den Wegweisungsvollzug zum heutigen Zeitpunkt nicht als unzulässig erscheinen (vgl. Grundsatzurteil BVGE 2008/4). Nach dem Gesagten ist der Vollzug der Wegweisung sowohl im Sinne der asyl- als auch der völkerrechtlichen Bestimmungen zulässig.</w:t>
      </w:r>
    </w:p>
    <w:p>
      <w:r>
        <w:rPr>
          <w:b/>
        </w:rPr>
        <w:t>E. 5.3</w:t>
      </w:r>
    </w:p>
    <w:p>
      <w:r>
        <w:t>Wie vorstehend ausgeführt, geht das Bundesverwaltungsgericht davon aus, dass die Anordnung des Vollzugs der Wegweisung in den kurdisch verwalteten Nordirak in der Regel für junge, gesunde und alleinstehende kurdische Männer, die dort über ein soziales Netz verfügen, zumutbar ist. Entgegen der vom Beschwerdeführer in der Rechtsmitteleingabe vertretenen Ansicht, ist die Situation im Nordirak heute nicht derart, dass eine Wegweisung in dieses Gebiet generell als unzumutbar angesehen werden müsste. Wie die Vorinstanz bereits zutreffend festgestellt hat, handelt es sich beim Beschwerdeführer um einen jungen, gesunden Mann, der seit seiner Geburt in der Provinz Sulaymanyia lebte und dort zusammen mit seiner Familie arbeitete. Sodann leben die Eltern des Beschwerdeführers und seine vier Geschwister nach wie vor in der Provinz Sulaymanyia. Damit verfügt der Beschwerdeführer bei einer Rückkehr über ein soziales Beziehungsnetz, welches ihm die Reintegration nach seinem zweijährigen Aufenthalt in der Schweiz erleichtern kann. Was die geltend gemachte finanzielle Belastung für die aus angeblich ärmlichen Verhältnissen stammende Familie des Beschwerdeführers anbelangt, ist dem Bundesverwaltungsgericht wie der Vorinstanz bewusst, dass eine Reintegration nicht einfach ist. Um diesen Umstand namentlich in einer Anfangsphase zu mildern, ist an dieser Stelle erneut auf die Rückkehrhilfe der Schweiz zu verweisen, welche der Beschwerdeführer beim BFM beantragen kann. Zudem ist es dem Beschwerdeführer zuzumuten, sich um den Aufbau einer eigenen neuen wirtschaftlichen Existenz zu bemühen. Blosse soziale und wirtschaftliche Schwierigkeiten jedenfalls, von denen die ansässige Bevölkerung im Allgemeinen betroffen ist, genügen nicht, um eine Gefahr im Sinne von Art. 83 Abs. 4 AuG darzustellen (vgl. die weiterhin zutreffende Praxis der Schweizerischen Asylrekurskommission (ARK) in EMARK 1996 Nr. 2 S. 12 f. und 1994 Nr. 19 E. 6b S. 148 f.). Schliesslich sind keine weiteren individuellen Gründe ersichtlich, aufgrund derer allenfalls geschlossen werden könnte, der Beschwerdeführer gerate im Falle der Rückkehr in die Heimat in eine existenzbedrohende Situation. Bei dieser Sachlage erübrigt es sich, auf die weiteren, nur allgemein gehaltenen Ausführungen in der Rechtsmitteleingabe im Einzelnen einzugehen. Insgesamt ist der Vollzug der Wegweisung somit als zumutbar zu bezeichnen.</w:t>
      </w:r>
    </w:p>
    <w:p>
      <w:r>
        <w:rPr>
          <w:b/>
        </w:rPr>
        <w:t>E. 5.4</w:t>
      </w:r>
    </w:p>
    <w:p>
      <w:r>
        <w:t>Schliesslich obliegt es dem Beschwerdeführer, sich bei der zuständigen Vertretung seines Heimatstaates die für eine Rückkehr notwendigen gültigen Reisedokumente zu beschaffen (Art. 8 Abs. 4 AsylG), weshalb der Vollzug der Wegweisung auch als möglich zu bezeichnen ist (Art. 83 Abs. 2 AuG).</w:t>
      </w:r>
    </w:p>
    <w:p>
      <w:r>
        <w:rPr>
          <w:b/>
        </w:rPr>
        <w:t>E. 5.5</w:t>
      </w:r>
    </w:p>
    <w:p>
      <w:r>
        <w:t>Zusammenfassend ist festzuhalten, dass das BFM den Vollzug der Wegweisung zu Recht als durchführbar erklärt und die vorläufige Aufnahme aufgehoben hat.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Mit Zwischenverfügung vom 13. November 2007 hat der Instruktionsrichter das Gesuch um Gewährung der unentgeltlichen Rechtspflege unter Vorbehalt des Nachreichens einer Fürsorgebestätigung gutgeheissen. Am 13. Dezember 2007 hat der Beschwerdeführer die Mittellosigkeitsbestätigung vom 15. November 2007 eingereicht. Dem Beschwerdeführer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