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E-7546/2015 vom 6. Januar 2016</w:t>
      </w:r>
    </w:p>
    <w:p>
      <w:r>
        <w:t>Bundesverwaltungsgericht, 2016-01-06, DE</w:t>
      </w:r>
    </w:p>
    <w:p>
      <w:r>
        <w:rPr>
          <w:b/>
        </w:rPr>
        <w:t xml:space="preserve">Quelle: </w:t>
      </w:r>
      <w:r>
        <w:t>https://mcp.opencaselaw.ch/entscheid/bvger_E-7546_2015</w:t>
      </w:r>
    </w:p>
    <w:p>
      <w:r>
        <w:t>FR: TAF E-7546/2015 du 6 janvier 2016</w:t>
      </w:r>
    </w:p>
    <w:p>
      <w:r>
        <w:t>IT: TAF E-7546/2015 del 6 gennaio 2016</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(vgl. Bst. F).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Art. 63 AsylG regelt die Aberkennung der Flüchtlingseigenschaft und den Widerruf des Asyls. Gemäss Art. 63 Abs. 1 Bst. b AsylG wird die Flüchtlingseigenschaft aberkannt und das Asyl widerrufen, wenn Gründe nach Art. 1 Bst. C Ziff. 1-6 FK vorliegen. Art. 1 Bst. C FK beinhaltet Beendigungsklauseln betreffend den Flüchtlingsstatus. Namentlich fällt eine Person unter anderem nicht mehr unter die Bestimmungen der FK und endet ihr Flüchtlingsstatus, wenn sie sich freiwillig wieder unter den Schutz des Landes, dessen Staatsangehörigkeit sie besitzt, gestellt hat (Art. 1 Bst. C Ziff. 1 FK). Dies erfordert das kumulative Vorliegen dreier Voraussetzungen: Die betroffene Person muss freiwillig in Kontakt mit ihrem Heimatland getreten sein in der Absicht, von ihrem Heimatland Schutz in Anspruch zu nehmen, und dieser muss ihr tatsächlich gewährt worden sein (vgl. die weiterhin gültige Rechtsprechung in Entscheidungen und Mitteilungen der Schweizerischen Asylrekurskommission [EMARK] 2002 Nr. 8 mit weiteren Hinweisen).</w:t>
      </w:r>
    </w:p>
    <w:p>
      <w:r>
        <w:rPr>
          <w:b/>
        </w:rPr>
        <w:t>E. 4.1</w:t>
      </w:r>
    </w:p>
    <w:p>
      <w:r>
        <w:t>Der Anspruch auf rechtliches Gehör (Art. 29 Abs. 2 BV; Art. 29 und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ist so abzufassen, dass der Betroffene ihn gegebenenfalls sachgerecht anfechten kann, was nur der Fall ist, wenn sich sowohl der Betroffene als auch die Rechtsmittelinstanz über die Tragweite des Entscheides ein Bild machen können (vgl. Lorenz Kneubühler, in: Auer/Müller/Schindler [Hrsg.], Kommentar zum Bundesgesetz über das VwVG 2008, N. 6 ff. zu Art. 35; BVGE 2007/30 E. 5.6). Dabei muss sich die verfügende Behörde nicht ausdrücklich mit jeder tatbestandlichen Behauptung und jedem rechtlichen Einwand auseinandersetzen, sondern kann sich auf die wesentlichen Gesichtspunkte beschränken. Die Behörde hat allerdings wenigstens die Überlegungen kurz anzuführen, von denen sie sich leiten liess und auf welche sie ihren Entscheid stützt, wobei sie sich auf die wesentlichen Gesichtspunkte beschränken kann. Die Begründungsdichte richtet sich nach dem Verfügungsgegenstand, den Verfahrensumständen und den Interessen des Betroffenen, wobei bei schwerwiegenden Eingriffen in die rechtlich geschützten Interessen des Betroffenen - und um solche geht es bei den Fragen von Flüchtlingseigenschaft und Asyl - eine sorgfältige Begründung verlangt wird (BVGE 2008/47 E. 3.2, EMARK 2006 Nr. 24 E. 5.1).</w:t>
      </w:r>
    </w:p>
    <w:p>
      <w:r>
        <w:rPr>
          <w:b/>
        </w:rPr>
        <w:t>E. 4.2</w:t>
      </w:r>
    </w:p>
    <w:p>
      <w:r>
        <w:t>Vorliegend ist der vorinstanzlichen Verfügung nicht zu entnehmen, dass sie sich mit dem Inhalt und den Vorbringen in der vom damaligen Rechtsvertreter der Beschwerdeführenden eingereichten Stellungnahme vom 3. September 2015 auseinandersetzt. Insbesondere fehlen Ausführungen zum Umstand, dass die aus dem Zentralirak stammenden Beschwerdeführenden sich in den Nordirak begeben haben, was anhand der Sondersituation dieses Gebiets, welches unter einer autonomen kurdischen Verwaltung steht, jedoch unerlässlich erscheint. Was zudem seitens der Vorinstanz gänzlich unberücksichtigt blieb, ist der Umstand, dass die Kinder - zwei der vier Kinder sind mittlerweile volljährig - im vom SEM erwähnten Zeitpunkt der Reise in den Nordirak im Jahr 2006 [minderjährig] waren und zum damaligen Zeitpunkt unter der elterlichen Sorge standen; infolgedessen ist fraglich, ob in ihrem Fall das Kriterium der "freiwilligen" Inanspruchnahme des Schutzes des Heimatstaates im Sinne von Art. 1 Bst. C Ziff. 1 FK erfüllt ist. Im Übrigen ist nicht nachvollziehbar, weshalb die volljährigen Kinder zusammen mit ihren Eltern in einer Verfügung aufgeführt werden. Schliesslich blieb auch der Umstand, dass die Reise des Beschwerdeführers und der Kinder im Jahr 2006 stattgefunden habe und mithin inzwischen über neun Jahre zurückliegt, in der angefochtenen Verfügung unbeachtet.</w:t>
      </w:r>
    </w:p>
    <w:p>
      <w:r>
        <w:rPr>
          <w:b/>
        </w:rPr>
        <w:t>E. 5</w:t>
      </w:r>
    </w:p>
    <w:p>
      <w:r>
        <w:t>In Anbetracht dieser Sachlage ergibt sich, dass es die Vorinstanz versäumt hat, ihren Entscheid hinreichend zu begründen. Die Verletzung der Begründungspflicht kann auf Beschwerdeebene im Allgemeinen nicht ohne Weiteres geheilt werden, zumal es nicht Sinn und Zweck des Beschwerdeverfahrens vor dem Bundesverwaltungsgericht sein kann, Unterlassungen der Vorinstanz nachzuholen. Gegen eine Heilung dieses Verfahrensmangels spricht weiter die Tatsache, dass den Beschwerdeführenden eine Instanz verloren ginge. Dies wiegt umso schwerer, als ein Entscheid des Bundesverwaltungsgerichts im Bereich des Asyls durch kein ordentliches Rechtsmittel mehr angefochten werden könnte, was für die Beschwerdeführenden einen erheblichen Nachteil darstellen würde.</w:t>
      </w:r>
    </w:p>
    <w:p>
      <w:r>
        <w:rPr>
          <w:b/>
        </w:rPr>
        <w:t>E. 6</w:t>
      </w:r>
    </w:p>
    <w:p>
      <w:r>
        <w:t>Die Beschwerde ist demnach gutzuheissen. Die angefochtene Verfügung des SEM vom 2. Oktober 2015 ist aufzuheben und die Sache in Anwendung von Art. 61 Abs. 1 VwVG zur Begründung und Neubeurteilung im Sinne der Erwägungen an die Vorinstanz zurückzuweisen. Dabei werden auch die im Beschwerdeverfahren geltend gemachten Vorbringen - namentlich, dass die schwere Krankheit und der Tod des Vaters der Beschwerdeführerin einen wichtigen Grund für die Reise dargestellt hätten - zu berücksichtigen sein. Die vorinstanzlichen Akten und das Beschwerdedossier, welches mithin ebenfalls Prozessstoff des vorinstanzlichen Verfahrens bilden wird, werden dem SEM zugestellt.</w:t>
      </w:r>
    </w:p>
    <w:p>
      <w:r>
        <w:rPr>
          <w:b/>
        </w:rPr>
        <w:t>E. 7.1</w:t>
      </w:r>
    </w:p>
    <w:p>
      <w:r>
        <w:t>Bei diesem Ausgang des Verfahrens sind keine Kosten zu erheben (Art. 63 Abs. 1 und 2 VwVG).</w:t>
      </w:r>
    </w:p>
    <w:p>
      <w:r>
        <w:rPr>
          <w:b/>
        </w:rPr>
        <w:t>E. 7.2</w:t>
      </w:r>
    </w:p>
    <w:p>
      <w:r>
        <w:t>Der ganz oder teilweise obsiegenden Partei kann von der Beschwerdeinstanz von Amtes wegen oder auf Begehren eine Entschädigung für ihr erwachsene notwendige und verhältnismässig hohe Kosten zugesprochen werden (Art. 64 Abs. 1 VwVG). Da die Beschwerdeführenden im Beschwerdeverfahren nicht vertreten waren, ist nicht ersichtlich, welche unverhältnismässig hohen Kosten ihnen entstanden sein könnten, weshalb vorliegend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