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E-7532/2014 vom 15. Januar 2015</w:t>
      </w:r>
    </w:p>
    <w:p>
      <w:r>
        <w:t>Bundesverwaltungsgericht, 2015-01-15, DE</w:t>
      </w:r>
    </w:p>
    <w:p>
      <w:r>
        <w:rPr>
          <w:b/>
        </w:rPr>
        <w:t xml:space="preserve">Quelle: </w:t>
      </w:r>
      <w:r>
        <w:t>https://mcp.opencaselaw.ch/entscheid/bvger_E-7532_2014</w:t>
      </w:r>
    </w:p>
    <w:p>
      <w:r>
        <w:t>FR: TAF E-7532/2014 du 15 janvier 2015</w:t>
      </w:r>
    </w:p>
    <w:p>
      <w:r>
        <w:t>IT: TAF E-7532/2014 del 15 gennaio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(BVGE 2010/57 E. 2.2 und 2.3).</w:t>
      </w:r>
    </w:p>
    <w:p>
      <w:r>
        <w:rPr>
          <w:b/>
        </w:rPr>
        <w:t>E. 3.3</w:t>
      </w:r>
    </w:p>
    <w:p>
      <w:r>
        <w:t>Die Vorinstanz hat den Massstab des Glaubhaftmachens nicht verkannt, auf den vorliegenden Fall korrekt angewendet und die Verfügung einlässlich begründet. Sie kommt zum Schluss, aufgrund der gesamten Widersprüche und Ungereimtheiten in den Aussagen des Beschwerdeführers seien die geltend gemachten Kernvorbringen - Übergriffe durch den Schwiegervater, der beim iranischen Geheimdienst arbeite, Aufforderung zur Mitarbeit beim Geheimdienst, fünftägige Haft bei der achten Polizeiwache in Teheran sowie Nachstellungen und Verfolgungen nach der angeblichen Inhaftierung - nicht glaubhaft. Die Scheidungsurkunde als eingereichtes Beweismittel sei nicht geeignet, die Kernvorbringen anders zu würdigen. Der Beschwerdeführer setzt sich mit der Begründung der angefochtenen Verfügung nicht ansatzweise auseinander und zeigt nicht auf, inwiefern diese Bundesrecht verletzen oder den Sachverhalt rechtsfehlerhaft feststellen soll. Solches ist auch nicht ersichtlich. So trifft zu, dass er sich widersprüchlich dazu äusserte, ob die Familie seiner geschiedenen Frau schon vor der Eheschliessung damit nicht einverstanden gewesen sei oder ob die Probleme erst nachher entstanden seien (SEM-Akten, A4/11 S. 7 und A9/23 S. 7f.). Sodann stellt die Vorinstanz zutreffend Widersprüche im Aussageverhalten zur angeblichen Haft fest. Der Beschwerdeführer gab zunächst an, er sei während der Haft verprügelt worden, stellte dies aber auf konkrete Nachfrage in Abrede (SEM-Akten A4/11 S. 8 und A9/23 S. 13). Die Angaben zur Erklärung, die er bei der Haftentlassung habe unterzeichnen müssen, sind ebenfalls unvereinbar. Dies erstaunt umso mehr, als ihm damit eine Strafe für den Fall weiterer Vergehen angedroht worden sein soll. Doch zur Art und Höhe der Strafdrohung vermochte er keine widerspruchsfreien Aussagen zu machen (SEM-Akten A4/11 S. 7 und A9/23 S. 12). Schliesslich vermochte er auch im Zusammenhang mit den angegebenen Verfolgungsmassnahmen nach der behaupteten Inhaftierung keine glaubhaften Aussagen zu machen. Alle Ungereimtheiten und Widersprüche hat die Vorinstanz korrekt festgestellt und in nicht zu beanstandender Weise gewürdigt. Um Wiederholungen zu vermeiden, kann auf die angefochtene Verfügung verwiesen werden. Die Vorinstanz hat demnach das Asylgesuch des Beschwerdeführers zu Recht abgelehnt.</w:t>
      </w:r>
    </w:p>
    <w:p>
      <w:r>
        <w:rPr>
          <w:b/>
        </w:rPr>
        <w:t>E. 4</w:t>
      </w:r>
    </w:p>
    <w:p>
      <w:r>
        <w:t>Gemäss Art. 44 AsylG verfügt die Vorinstanz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5.1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5.2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in den Iran dort mit beachtlicher Wahrscheinlichkeit einer nach Art. 3 EMRK oder Art. 1 FoK verbotenen Strafe oder Behandlung ausgesetzt wäre. Der Vollzug ist demnach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Im Iran herrscht kein Bürgerkrieg und keine Situation allgemeiner Gewalt. Auch besteht kein Grund zur Annahme, der Beschwerdeführer gerate im Falle einer Rückkehr aus individuellen Gründen wirtschaftlicher, sozialer oder gesundheitlicher Natur in eine existenzbedrohende Situation. Es handelt sich um einen jungen gesunden Mann mit überdurchschnittlicher Schulbildung (Matura) und einer abgeschlossenen Berufsbildung zum Mechaniker. Der Vollzug erweist sich als zumutbar.</w:t>
      </w:r>
    </w:p>
    <w:p>
      <w:r>
        <w:rPr>
          <w:b/>
        </w:rPr>
        <w:t>E. 5.4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5.5</w:t>
      </w:r>
    </w:p>
    <w:p>
      <w:r>
        <w:t>Die Vorinstanz hat demnach zu Recht Wegweisungsvollzugshindernisse verneint. Die Anordnung einer vorläufigen Aufnahme fällt ausser Betracht (Art. 83 Abs. 1 - 4 AuG).</w:t>
      </w:r>
    </w:p>
    <w:p>
      <w:r>
        <w:rPr>
          <w:b/>
        </w:rPr>
        <w:t>E. 6</w:t>
      </w:r>
    </w:p>
    <w:p>
      <w:r>
        <w:t>Aus diesen Erwägungen ergibt sich, dass die angefochtene Verfügung kein Bundesrecht verletzt und auch sonst nicht zu beanstanden ist (Art. 106 Abs. 1 AsylG). Die Beschwerde ist abzuweisen.</w:t>
      </w:r>
    </w:p>
    <w:p>
      <w:r>
        <w:rPr>
          <w:b/>
        </w:rPr>
        <w:t>E. 7.1</w:t>
      </w:r>
    </w:p>
    <w:p>
      <w:r>
        <w:t>Der Beschwerdeführer beantragt die Gewährung der unentgeltlichen Rechtspflege. Aufgrund der vorstehenden Erwägungen ergibt sich, dass seine Begehren als aussichtslos zu gelten haben. Damit ist eine der kumulativ zu erfüllenden Voraussetzungen nicht gegeben, weshalb dem Gesuch um Gewährung der unentgeltlichen Prozessführung nicht stattzugeben ist.</w:t>
      </w:r>
    </w:p>
    <w:p>
      <w:r>
        <w:rPr>
          <w:b/>
        </w:rPr>
        <w:t>E. 7.2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w:t>
      </w:r>
    </w:p>
    <w:p>
      <w:r>
        <w:rPr>
          <w:b/>
        </w:rPr>
        <w:t>E. 7.3</w:t>
      </w:r>
    </w:p>
    <w:p>
      <w:r>
        <w:t>Der Antrag auf Verzicht auf die Erhebung eines Kostenvorschusses ist mit dem vorliegenden Urteil gegenstandslos geworden. Gleiches gilt für den Antrag betreffend Kontaktaufnahme mit den Behörden des Heimatlandes und den Antrag betreffend Datenweitergabe. Was den Antrag auf Erlass einer separaten Verfügung betreffend eine bereits erfolgte Datenweitergabe anbelangt, ist festzustellen, dass den Akten keine entsprechenden Hinweise zu entnehmen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