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E-7523/2010 vom 30. August 2011</w:t>
      </w:r>
    </w:p>
    <w:p>
      <w:r>
        <w:t>Bundesverwaltungsgericht, 2011-08-30, DE</w:t>
      </w:r>
    </w:p>
    <w:p>
      <w:r>
        <w:rPr>
          <w:b/>
        </w:rPr>
        <w:t xml:space="preserve">Quelle: </w:t>
      </w:r>
      <w:r>
        <w:t>https://mcp.opencaselaw.ch/entscheid/bvger_E-7523_2010</w:t>
      </w:r>
    </w:p>
    <w:p>
      <w:r>
        <w:t>FR: TAF E-7523/2010 du 30 août 2011</w:t>
      </w:r>
    </w:p>
    <w:p>
      <w:r>
        <w:t>IT: TAF E-7523/2010 del 30 agosto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sie die Frage der Flüchtlingseigenschaft betrifft; im Übrigen wird sie abgewiesen.</w:t>
      </w:r>
    </w:p>
    <w:p>
      <w:r>
        <w:rPr>
          <w:b/>
        </w:rPr>
        <w:t>E. 2</w:t>
      </w:r>
    </w:p>
    <w:p>
      <w:r>
        <w:t>Die Verfügung des BFM vom 20. September 2010 wird teilweise - soweit die Dispositiv-Ziffer 1 betreffend - aufgehoben und das Bundesamt wird angewiesen, den Beschwerdeführer als Flüchtling anzuerkennen.</w:t>
      </w:r>
    </w:p>
    <w:p>
      <w:r>
        <w:rPr>
          <w:b/>
        </w:rPr>
        <w:t>E. 3</w:t>
      </w:r>
    </w:p>
    <w:p>
      <w:r>
        <w:t>.Dem Beschwerdeführer werden die hälftigen Verfahrenskosten im Betrage von Fr. 300.-- auferlegt. Diese sind durch den im Betrage von Fr. 600.-- geleisteten Kostenvorschuss gedeckt. Der überschüssige Betrag von Fr. 300.-- wird dem Beschwerdeführer zurückerstattet.</w:t>
      </w:r>
    </w:p>
    <w:p>
      <w:r>
        <w:rPr>
          <w:b/>
        </w:rPr>
        <w:t>E. 4</w:t>
      </w:r>
    </w:p>
    <w:p>
      <w:r>
        <w:t>Das BFM hat dem Beschwerdeführer eine Parteientschädigung im Betrage von Fr. 600.- (inkl. Auslagen und MWST) auszurichten.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