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E-7521/2014 vom 18. März 2015</w:t>
      </w:r>
    </w:p>
    <w:p>
      <w:r>
        <w:t>Bundesverwaltungsgericht, 2015-03-18, FR</w:t>
      </w:r>
    </w:p>
    <w:p>
      <w:r>
        <w:rPr>
          <w:b/>
        </w:rPr>
        <w:t xml:space="preserve">Quelle: </w:t>
      </w:r>
      <w:r>
        <w:t>https://mcp.opencaselaw.ch/entscheid/bvger_E-7521_2014</w:t>
      </w:r>
    </w:p>
    <w:p>
      <w:r>
        <w:t>FR: TAF E-7521/2014 du 18 mars 2015</w:t>
      </w:r>
    </w:p>
    <w:p>
      <w:r>
        <w:t>IT: TAF E-7521/2014 del 18 marzo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entièrement couvert par l'avance de frais du même montant, versée le 19 février 2015.</w:t>
      </w:r>
    </w:p>
    <w:p>
      <w:r>
        <w:rPr>
          <w:b/>
        </w:rPr>
        <w:t>E. 3</w:t>
      </w:r>
    </w:p>
    <w:p>
      <w:r>
        <w:t>Le présent arrêt est adressé à la mandataire de la recourante,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