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E-750/2016 vom 11. Februar 2016</w:t>
      </w:r>
    </w:p>
    <w:p>
      <w:r>
        <w:t>Bundesverwaltungsgericht, 2016-02-11, DE</w:t>
      </w:r>
    </w:p>
    <w:p>
      <w:r>
        <w:rPr>
          <w:b/>
        </w:rPr>
        <w:t xml:space="preserve">Quelle: </w:t>
      </w:r>
      <w:r>
        <w:t>https://mcp.opencaselaw.ch/entscheid/bvger_E-750_2016</w:t>
      </w:r>
    </w:p>
    <w:p>
      <w:r>
        <w:t>FR: TAF E-750/2016 du 11 février 2016</w:t>
      </w:r>
    </w:p>
    <w:p>
      <w:r>
        <w:t>IT: TAF E-750/2016 del 11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beantragt die Ansetzung einer Frist zur Nachbegründung seiner Beschwerde sowie zur ausführlichen Begründung seines Asylantrages. Die gesetzlichen Voraussetzungen von Art. 53 VwVG zur ergänzenden Beschwerdeschrift (aussergewöhnlicher Umfang, besondere Schwierigkeiten der Beschwerdesache etc.) sind vorliegend offensichtlich nicht erfüllt, weshalb die Anträge abzuweisen sind.</w:t>
      </w:r>
    </w:p>
    <w:p>
      <w:r>
        <w:rPr>
          <w:b/>
        </w:rPr>
        <w:t>E. 3.2</w:t>
      </w:r>
    </w:p>
    <w:p>
      <w:r>
        <w:t>Zudem beantragt der Beschwerdeführer, er sei zu einer mündlichen Parteibefragung und Verhandlung vorzuladen. Da der rechtserhebliche Sachverhalt in Hinblick auf die in Frage stehende Zuständigkeit zur Durchführung des Asyl- und Wegweisungsverfahrens rechtsgenüglich erstellt ist, besteht keine Notwendigkeit für eine Befragung des Beschwerdeführers oder eine Verhandlung. Der Antrag ist abzuweisen.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in der angefochtenen Verfügung aus, der Beschwerdeführer habe am 14. April 2015 in Italien ein Asylgesuch eingereicht. Innert Frist habe Italien zum Wiederaufnahmeersuchen keine Stellung genommen, weshalb die Zuständigkeit zur Durchführung des Asyl- und Wegweisungsverfahrens bei Italien liege. Das Tarakhel-Urteil des Europäische Gerichtshof für Menschenrechte (Urteil des EGMR Tarakhel gegen die Schweiz vom 4. November 2014, 29217/12) beziehe sich explizit auf die Wegweisung von Familien und habe darum im vorliegenden Fall keine Bewandtnis. Weiter würden keine konkreten Anhaltspunkte dafür vorliegen, dass Italien sich nicht an seine völkerrechtlichen Verpflichtungen halten oder das Asyl- und Wegweisungsverfahren nicht korrekt durchführen würde. Zudem würden keine systemischen Mängel im Asyl- und Aufnahmesystem Italiens vorliegen. Für eine Anwendung der Souveränitätsklausel gemäss Art. 17 Abs. 1 Dublin-III-VO würden keine Gründe vorliegen.</w:t>
      </w:r>
    </w:p>
    <w:p>
      <w:r>
        <w:rPr>
          <w:b/>
        </w:rPr>
        <w:t>E. 5.2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5.2.1</w:t>
      </w:r>
    </w:p>
    <w:p>
      <w:r>
        <w:t>Die Vorinstanz hat aufgrund der Aussagen des Beschwerdeführers zu Recht die Zuständigkeit Italiens erkannt und die italienischen Behörden - gestützt auf Art. 18 Abs. 1 Bst. b Dublin-III-VO - um Wiederaufnahme ersucht. Dass Italien nicht ausdrücklich Stellung genommen hat, bleibt ohne Bedeutung. Bereits mit Fristablauf wird die Zustimmung fingiert. Somit ist Italien grundsätzlich (weiterhin) zuständig für die Durchführung des Asyl- und Wegweisungsverfahrens. Die Ausführungen des Beschwerdeführers hiergegen, unter anderem dass eigentlich Griechenland zuständig sei, vermögen die Schlussfolgerung der Vorinstanz nicht umzustossen oder in Frage zu stellen.</w:t>
      </w:r>
    </w:p>
    <w:p>
      <w:r>
        <w:rPr>
          <w:b/>
        </w:rPr>
        <w:t>E. 5.2.2</w:t>
      </w:r>
    </w:p>
    <w:p>
      <w:r>
        <w:t>Der Beschwerdeführer bringt zudem vor, Italien habe keine Garantie der Übernahme, der menschenwürdigen Unterbringung und Verpflegung abgegeben. Die Vorinstanz führt hierzu zutreffend aus, dass sich das EGMR-Urteil Tarakhel explizit auf die Wegweisung einer Familie bezieht. Aus diesem Grund kann der Beschwerdeführer daraus nichts zu seinen Gunsten ableiten. Seine Rüge geht fehl.</w:t>
      </w:r>
    </w:p>
    <w:p>
      <w:r>
        <w:rPr>
          <w:b/>
        </w:rPr>
        <w:t>E. 5.2.3</w:t>
      </w:r>
    </w:p>
    <w:p>
      <w:r>
        <w:t>Der Beschwerdeführer bringt weiter vor, er sei bei seiner Überstellung nach Italien am Flughafen Mailand vor die Türe gesetzt worden und ihm sei gesagt worden, man könne nichts für ihn tun. Zudem sei er in Italien Opfer von fremdenfeindlichen Übergriffen geworden. Dass er nach seiner Überstellung nach Italien einfach auf die Strasse gestellt worden sei, ist eine durch nichts belegte Behauptung, welche der Beschwerdeführer nicht weiter substantiiert. Bezüglich des Vorbringens, dass er Opfer von fremdenfeindlichen Übergriffen geworden sei, ist auf die zutreffenden Erwägungen der Vorinstanz zu verweisen, wonach es sich bei Italien um einen Rechtsstaat handle, der sowohl schutzwillig wie auch schutzfähig sei.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des EGMR Mohammed Hussein und andere gegen Niederlande vom 2. April 2013, 27725/10; siehe zu Italien auch: Urteil des EGMR A.S. gegen Schweiz vom 30. Juni 2015,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handelt es sich beim Beschwerdeführer nicht um eine besonders verletzliche Person, sondern um einen gesunden jungen Mann.</w:t>
      </w:r>
    </w:p>
    <w:p>
      <w:r>
        <w:rPr>
          <w:b/>
        </w:rPr>
        <w:t>E. 5.3</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Mit dem vorliegenden Urteil ist der Antrag auf Gewährung der aufschiebenden Wirkung sowie der Antrag, die Vorinstanz sei anzuweisen, von Vollzugshandlungen abzusehen, gegenstandslos geworden.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den Gesuchen um Gewährung der unentgeltlichen Prozessführung und der amtlichen Rechtsverbeiständung nicht stattgegeben werden. Der Antrag auf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