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E-7508/2015 vom 28. Juni 2017</w:t>
      </w:r>
    </w:p>
    <w:p>
      <w:r>
        <w:t>Bundesverwaltungsgericht, 2017-06-28, DE</w:t>
      </w:r>
    </w:p>
    <w:p>
      <w:r>
        <w:rPr>
          <w:b/>
        </w:rPr>
        <w:t xml:space="preserve">Quelle: </w:t>
      </w:r>
      <w:r>
        <w:t>https://mcp.opencaselaw.ch/entscheid/bvger_E-7508_2015</w:t>
      </w:r>
    </w:p>
    <w:p>
      <w:r>
        <w:t>FR: TAF E-7508/2015 du 28 juin 2017</w:t>
      </w:r>
    </w:p>
    <w:p>
      <w:r>
        <w:t>IT: TAF E-7508/2015 del 28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3.2</w:t>
      </w:r>
    </w:p>
    <w:p>
      <w:r>
        <w:t>Die Vorinstanz bezieht sich ausdrücklich auf ein "Abklärungsergebnis" der Schweizer Botschaft in Budapest vom 23. September 2015 (Verfügung SEM vom 5. November 2015, S. 3). Dieses Abklärungsergebnis wurde den Beschwerdeführenden im Verfahren nicht offen gelegt, obschon es den Entscheid beeinflussen kann. Hiermit ist das rechtliche Gehör offensichtlich verletzt. 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klar ausser Betracht, da dem Bundesverwaltungsgericht bei Dublinverfahren nur beschränkte Kognition zukommt (Art. 106 Abs. 1 AsylG).</w:t>
      </w:r>
    </w:p>
    <w:p>
      <w:r>
        <w:rPr>
          <w:b/>
        </w:rPr>
        <w:t>E. 3.3</w:t>
      </w:r>
    </w:p>
    <w:p>
      <w:r>
        <w:t>Im Übrigen wäre Ungarn im Rahmen des Dublin-Verfahrens für den Beschwerdeführer zuständig (Asylgesuch in Ungarn vom 24. September 2015). Das Bundesverwaltungsgericht hat im Urteil D-7853/2015 vom 31. Mai 2017 (vorgesehen zur Publikation als Referenzurteil) indes eingehend die Entwicklung der Situation für Asylsuchende in Ungarn - insbesondere für jene, die in Anwendung der Dublin-III-VO nach Ungarn überstellt werden - unter Berücksichtigung des bedeutenden Migrationsstroms analysiert,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habe, sei es dem Bundesverwaltungsgericht aufgrund des derzeitigen Stands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Gestützt auf diese Erwägungen hat das Bundesverwaltungsgericht im erwähnten Urteil die angefochtene Verfügung aufgehoben und die Sache zur neuen Entscheidung an das Staatssekretariat für Migration zurückgewiesen und ausgeführt, es obliege der erstinstanzlichen Behörde, sämtliche Sachverhaltselemente zusammenzutragen, die zur Beurteilung dieser wesentlichen Fragen zu Ungarn erforderlich seien, und es sei nicht die Aufgabe der Beschwerdeinstanz, komplexe ergänzende Abklärungen vorzunehmen. Das Bundesverwaltungsgericht würde sonst mit einem Sachentscheid seine Zuständigkeit überschreiten und die betroffene Partei werde um den gesetzlich vorgesehenen Instanzenzug gebracht (vgl. Urteil BVGer D-7853/2015 vom 31. Mai 2017 insb. E. 13).</w:t>
      </w:r>
    </w:p>
    <w:p>
      <w:r>
        <w:rPr>
          <w:b/>
        </w:rPr>
        <w:t>E. 3.4</w:t>
      </w:r>
    </w:p>
    <w:p>
      <w:r>
        <w:t>Die Beschwerde ist gutzuheissen. Die Verfügung vom 14. September 2015 ist aufzuheben und die Sache im Sinne der Erwägungen einem neuen Entscheid zuzuführen, womit sich Ausführungen zu weiteren Anträgen und Rügen erübrigen.</w:t>
      </w:r>
    </w:p>
    <w:p>
      <w:r>
        <w:rPr>
          <w:b/>
        </w:rPr>
        <w:t>E. 4.1</w:t>
      </w:r>
    </w:p>
    <w:p>
      <w:r>
        <w:t>Bei diesem Ausgang des Verfahrens sind den Beschwerdeführenden keine Verfahrenskosten aufzuerlegen (Art. 63 Abs. 1 VwVG).</w:t>
      </w:r>
    </w:p>
    <w:p>
      <w:r>
        <w:rPr>
          <w:b/>
        </w:rPr>
        <w:t>E. 4.2</w:t>
      </w:r>
    </w:p>
    <w:p>
      <w:r>
        <w:t>Obsiegende Parteien haben Anspruch auf eine Parteientschädigung für die ihnen erwachsenen notwendigen Kosten (Art. 64 Abs. 1 VwVG, Art. 7 Abs. 1 Reglement vom 21. Februar 2008 über die Kosten und Entschädigungen vor dem Bundesverwaltungsgericht [VGKE, SR 173.320.2]). Der Rechtsvertreter hat eine Kostennote eingereicht. Diese ist nicht zu beanstanden. Die Vorinstanz ist anzuweisen, diesen Betrag von Fr. 4'018.- den Beschwerdeführenden für das Verfahren vor dem Bundesverwaltungsgericht auszurichten.</w:t>
      </w:r>
    </w:p>
    <w:p>
      <w:r>
        <w:rPr>
          <w:b/>
        </w:rPr>
        <w:t>E. 4.3</w:t>
      </w:r>
    </w:p>
    <w:p>
      <w:r>
        <w:t>Mit dem vorliegenden Urteil sind die Anträge auf Gewährung der unentgeltlichen Prozessführung und unentgeltlichen Verbeiständung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