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E-7507/2024 vom 10. Februar 2025</w:t>
      </w:r>
    </w:p>
    <w:p>
      <w:r>
        <w:t>Bundesverwaltungsgericht, 2025-02-10, DE</w:t>
      </w:r>
    </w:p>
    <w:p>
      <w:r>
        <w:rPr>
          <w:b/>
        </w:rPr>
        <w:t xml:space="preserve">Quelle: </w:t>
      </w:r>
      <w:r>
        <w:t>https://mcp.opencaselaw.ch/entscheid/bvger_E-7507_2024</w:t>
      </w:r>
    </w:p>
    <w:p>
      <w:r>
        <w:t>FR: TAF E-7507/2024 du 10 février 2025</w:t>
      </w:r>
    </w:p>
    <w:p>
      <w:r>
        <w:t>IT: TAF E-7507/2024 del 10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erhobene Kostenvorschuss innert Frist bezahlt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E-7507/2024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damit, dass die Vorbringen des Beschwerdeführers den Anforderungen an die Flüchtlingseigenschaft gemäss Art. 3 AsylG nicht standhielten. Die angeb- lich gegen ihn bestehenden Verfahren wegen Präsidentenbeleidigung und Propaganda für eine Terrororganisation seien nicht geeignet, die Flücht- lingseigenschaft zu begründen. So zeigten die Beweismittel – bei Unter- stellung der Authentizität – zwar, dass gegen ihn staatsanwaltliche Ermitt- lungsverfahren, indessen noch keine Gerichtsverfahren eröffnet worden seien. Die eingereichten Justizdokumente verfügten über keinerlei Sicher- heitsmerkmale und liessen sich daher sehr einfach fälschen. Mittlerweile sei bekannt, dass sie in der Türkei problemlos – über korrupte Justizange- stellte oder professionelle Fälscher – käuflich erworben werden könnten. Selbst wenn die Ermittlungsverfahren echt sein sollten, sei darauf hinzu- weisen, dass in der Türkei Ermittlungsverfahren oft in hoher Zahl eingelei- tet, aber häufig auch wieder eingestellt würden. Vor diesem Hintergrund sei es zum jetzigen Zeitpunkt offen, ob die Ermittlungen in absehbarer Zeit überhaupt zur Eröffnung eines Gerichtsverfahrens oder einer späteren Ver- urteilung seinerseits aus einem flüchtlingsrechtlich relevanten Motiv führ- ten. Hinsichtlich des Vorführbefehls sei zudem festzustellen, dass es sich formell nicht um einen Haftbefehl, sondern um eine Anordnung handle, dessen Zweck es sei, ihn einzuvernehmen und danach wieder freizulas- sen. Ferner könne bei den ihm vorgeworfenen Delikten das Vorliegen eines Haftgrundes gemäss Art. 100 Abs. 3 der tStPO nicht generell bejaht wer- den. Es sei anzumerken, dass im Falle einer Anklageerhebung und Eröff- nung eines Gerichtsverfahrens türkische Gerichte bei Ersttätern und Stra- fen bis zu zwei Jahren häufig entweder bedingte Freiheitsstrafen ausspre- chen oder die Verkündung des Urteils aufschieben würden. Da das</w:t>
      </w:r>
    </w:p>
    <w:p>
      <w:r>
        <w:t>E-7507/2024 Seite 6 Strafmass für eine Verurteilung wegen des von ihm angeführten Straftat- bestandes bei ansonsten unbescholtenen Ersttätern nach Erkenntnissen des SEM in der Regel zwei Jahre oder weniger betrage, wäre bei einer allfälligen Verurteilung wenig wahrscheinlich, dass eine unbedingte Frei- heitsstrafe gegen ihn ausgesprochen werde. Im Rahmen eines Vorführbe- fehls sei auch nicht mit einem systematischen Risiko von Misshandlungen oder Folter im Kontext der ihm zur Last gelegten Straftatbestände auszu- gehen, zumal in seinem Einzelfall aufgrund der vorliegenden Akten kein solches Risiko ersichtlich sei. Er habe daher nicht mit erheblicher Wahr- scheinlichkeit und in absehbarer Zeit eine flüchtlingsrechtlich relevante Verfolgung bei einer Rückkehr in die Türkei zu befürchten. Weiter bestünden Zweifel an der Darstellung des zeitlichen Ablaufs der Ge- schehnisse betreffend die gegen ihn eröffneten Ermittlungen. Zwar habe er sich ab 2015 für die HDP engagiert und in den letzten Jahren seine po- litische Meinung in den sozialen Medien kundgetan. Die auf Grundlage die- ser Posts gegen ihn gerichteten Ermittlungen hätten jedoch ausgerechnet kurz nach seiner legalen und offenbar problemlosen Ausreise aus seiner Heimat begonnen. Es wirke nicht nachvollziehbar, dass er aus Furcht vor staatlichen Repressionen zwischenzeitlich in D._______ habe untertau- chen wollen, sich zuvor jedoch gar nicht nach einem möglichen Verfahren gegen ihn erkundigt und sich somit ungeschützt den Behörden während der Grenzüberquerung ausgesetzt habe. Ungewöhnlich wirke auch die von ihm geschilderte Vorgehensweise der türkischen Polizei bei der Fahndung, wonach sie zunächst ihn und danach seine Familie angerufen hätten. Die gesamte Aktenlage spreche dafür, dass er die in der Türkei gegen ihn hängige Strafverfolgung mit höher Wahrscheinlichkeit bewusst zu einem Zeitpunkt, als er sich schon in D._______ aufgehalten habe, eingeleitet oder einleiten habe lassen, um subjektive Nachfluchtgründe zu begründen und somit eine Schutzstatus in der Schweiz zu erlangen. Eine solche Vor- gehensweise sei als rechtsmissbräuchlich zu werten und verdiene keinen Schutz. In seinem Fall dürfe daher nicht vorschnell auf eine flüchtlings- rechtlich relevante Gefährdung geschlossen werden. Sodann könne be- züglich der Rechtmässigkeit der eingeleiteten Untersuchungen wegen sei- ner Äusserungen in den sozialen Medien aus den nicht besonders umfang- reichen Akten nicht definitiv geschlossen werden, inwiefern diese haltlos seien. Insbesondere fehle bei seiner Beweismitteleingabe betreffend die von den Behörden inspizierten Posts ausgerechnet der Anhang. In der An- hörung habe er kaum etwas Konkretes berichtet. Aus seiner Aussage, er habe die PKK geliebt und deren Äusserungen geteilt, lasse sich zumindest</w:t>
      </w:r>
    </w:p>
    <w:p>
      <w:r>
        <w:t>E-7507/2024 Seite 7 nicht ausschliessen, dass seine Posts Gewaltverherrlichungen beinhaltet hätten, welche auch in der Schweiz strafrechtlich relevant sein könnten, weil sie als Aufruf zu Gewalt im Sinne von Art. 259 des Schweizerischen Strafgesetzbuches gewertet werden könnten. Auch der Umstand, dass seine Konten in den sozialen Medien gleich mehrfach gesperrt worden seien, sei Indiz dafür, dass deren Inhalte objektiv problematischer Natur gewesen seien. Die weiteren vorgebrachten Nachteile stellten keine intensiven Nachteile im flüchtlingsrechtlichen Sinne dar und seien für seine Ausreise offensicht- lich auch nicht ausschlaggebend gewesen. Aufgrund seines niederschwel- ligen Profils sei zudem nicht anzunehmen, dass er bei einer Rückkehr eine konkrete Verfolgung durch die Behörden zu befürchten hätte.</w:t>
      </w:r>
    </w:p>
    <w:p>
      <w:r>
        <w:rPr>
          <w:b/>
        </w:rPr>
        <w:t>E. 5.2</w:t>
      </w:r>
    </w:p>
    <w:p>
      <w:r>
        <w:t>In der Beschwerde wiederholt er den Sachverhalt und gibt in grossen Teilen die angefochtene Verfügung wieder. In materieller Hinsicht wendet er im Wesentlichen ein, die vorinstanzliche Ansicht, wonach er mit der Be- leidigung von Präsident Erdogan eine Straftat begangen habe, nicht teile, zumal dahingehende Äusserungen unter die Meinungsfreiheit fielen. Schliesslich engagiere er sich exilpolitisch. Er beteilige sich in der Schweiz an Protesten der kurdischen Diaspora gegen die türkische Regierung und äussere sich in den sozialen Medien politisch. Ferner sei der Vorführbefehl nicht nur zur Einvernahme, sondern auch zur Inhaftierung ausgestellt wor- den. Eine Verurteilung zu einer Freiheitsstrafe von mehr als zwei Jahren sei wahrscheinlich. Zudem könne die Freiheitsstrafe in diesem Fall nicht zur Bewährung ausgesetzt werden. In formeller Hinsicht rügt er, dass die Vorinstanz durch die fehlende Einzelfallprüfung der eingereichten türki- schen Justizdokumente sein Anspruch auf rechtliches Gehör verletzt habe.</w:t>
      </w:r>
    </w:p>
    <w:p>
      <w:r>
        <w:rPr>
          <w:b/>
        </w:rPr>
        <w:t>E. 6.1</w:t>
      </w:r>
    </w:p>
    <w:p>
      <w:r>
        <w:t>Nach Prüfung der Akten gelangt das Bundesverwaltungsgericht zum Schluss, dass die angefochtene Verfügung zu stützen ist. Die Vorinstanz ist darin mit im Resultat zutreffender Begründung zum Schluss gelangt, dass die Vorbringen des Beschwerdeführers den Anforderungen von Art. 3 AsylG an die Flüchtlingseigenschaft nicht zu genügen vermögen. Mit sei- ner Beschwerde vermag er insgesamt nichts darzutun, was zu einer ande- ren Einschätzung führen könnte.</w:t>
      </w:r>
    </w:p>
    <w:p>
      <w:r>
        <w:rPr>
          <w:b/>
        </w:rPr>
        <w:t>E. 6.2</w:t>
      </w:r>
    </w:p>
    <w:p>
      <w:r>
        <w:t>Das eingeleitete Ermittlungsverfahren gegen den Beschwerdeführer befindet sich laut Aktenlage in einer frühen Ermittlungsstufe. Derzeit ist of- fen, ob die Staatsanwaltschaft aufgrund der ihm vorgeworfenen</w:t>
      </w:r>
    </w:p>
    <w:p>
      <w:r>
        <w:t>E-7507/2024 Seite 8 Handlungen in den sozialen Medien überhaupt Anklage erheben wird, ob das Gericht eine solche Anklage als begründet erachten und ein Gerichts- verfahren gegen den strafrechtlich unbescholtenen Beschwerdeführer er- öffnet würde, ob er in der Folge (aus flüchtlingsrechtlich relevanten Moti- ven) zu einer Strafe (flüchtlingsrechtlich relevanter Intensität) verurteilt würde und ob ein solches Urteil vor den türkischen Rechtsmittelinstanzen bestehen könnte (vgl. Urteil des BVGer E-4103/2024 vom 19. Dezember 2024 [als Referenzurteil publiziert] E. 8.2 m.w.H.).</w:t>
      </w:r>
    </w:p>
    <w:p>
      <w:r>
        <w:rPr>
          <w:b/>
        </w:rPr>
        <w:t>E. 6.3</w:t>
      </w:r>
    </w:p>
    <w:p>
      <w:r>
        <w:t>Vorliegend erachtet das Bundesverwaltungsgericht die statistische Wahrscheinlichkeit, dass das gegen den Beschwerdeführer möglicher- weise eröffnete Ermittlungsverfahren in ein strafrechtliches Gerichtsverfah- ren mündet und er in diesem verurteilt wird, als nicht beachtlich. Staatsan- waltliche Ermittlungsverfahren wegen Präsidentenbeleidigung führten in den letzten Jahren etwa in 10 % aller Fälle zu einer Verurteilung. Bei staats- anwaltlichen Ermittlungsverfahren wegen ATG-Delikten – darunter Propa- ganda für eine terroristische Organisation – lag die durchschnittliche Wahr- scheinlichkeit bei rund 7 %. Diese durchschnittlichen Werte erreichen den Grad der beachtlichen Wahrscheinlichkeit nicht (vgl. Urteil des BVGer E- 4103/2024 vom 19. Dezember 2024 [als Referenzurteil publiziert] E. 8.4.4).</w:t>
      </w:r>
    </w:p>
    <w:p>
      <w:r>
        <w:rPr>
          <w:b/>
        </w:rPr>
        <w:t>E. 6.4</w:t>
      </w:r>
    </w:p>
    <w:p>
      <w:r>
        <w:t>Inwiefern das eingeleitete Ermittlungsverfahren allenfalls rechtsstaat- lich legitim ist (und damit nicht aus einem flüchtlingsrechtlich relevanten Motiv erfolgte), lässt sich übereinstimmend mit der Vorinstanz aufgrund der Aktenlage nicht restlos beurteilen. Die Beiträge in den sozialen Medien im Zusammenhang mit der PKK und die mehrfache Sperrung seiner diesbe- züglichen Konten deuten zumindest auf gemeinrechtliche Strafverfolgung hin, nämlich die Ahndung dessen, dass er den bewaffneten Kampf der PKK gutgeheissen und gelobt haben könnte. Angesichts des ohnehin frühen Stadiums des Ermittlungsverfahrens dies indes offen gelassen werden. Ferner kann auch der in der Beschwerde erhobene Einwand, wonach der Vorführbefehl wegen Propaganda für eine terroristische Organisation und Präsidentenbeleidigung nicht bloss zur Einvernahme, sondern auch zur In- haftierung ausgestellt worden sei, im Resultat offen bleiben. Gemäss dem kürzlich ergangenen Referenzurteil E-4103/2024 führt alleine die Tatsache, dass in der Türkei staatsanwaltschaftliche Ermittlungsverfahren wegen «Präsidentenbeleidigung» oder «Propaganda für eine terroristische Orga- nisation» hängig sind, nicht dazu, dass türkische Asylsuchende in der Schweiz als Flüchtlinge anerkannt werden (insbesondere a.a.O. E. 8.7.3 und E. 8.8). Insbesondere begründet die Ausstellung eines Vorführbefehls</w:t>
      </w:r>
    </w:p>
    <w:p>
      <w:r>
        <w:t>E-7507/2024 Seite 9 noch kein systematisches Risiko einer asylrechtlich relevanten Verfolgung (vgl. hierzu auch Urteil des BVGer D-4664/2024 vom 19. Dezember 2024 Sachverhalt Ziffer A.h. und E. 6.2.2; sowie das Urteil des BVGer E- 3879/2024 vom 10. Juli 2024 S. 5).</w:t>
      </w:r>
    </w:p>
    <w:p>
      <w:r>
        <w:rPr>
          <w:b/>
        </w:rPr>
        <w:t>E. 6.5</w:t>
      </w:r>
    </w:p>
    <w:p>
      <w:r>
        <w:t>Vorliegend ist auch nicht davon auszugehen, dass der Beschwerdefüh- rer im Fall einer Verurteilung damit rechnen müsste, mit beachtlicher Wahr- scheinlichkeit zu einer unbedingt vollziehbaren Freiheitsstrafe verurteilt zu werden. Es sind keine Vorstrafen oder Verurteilungen bekannt, was eben- falls nicht dafürspricht, der Beschwerdeführer hätte eine längere, unbe- dingt vollziehbare Freiheitsstrafe zu befürchten, da er bei der Strafzumes- sung Ersttäter behandelt würde. Zudem weist er als einfaches Mitglied der – notabene legalen – HDP-Partei kein geschärftes politisches Profil auf. Auch der Umstand, dass er seit 2015 in den sozialen Medien regelmässig Beiträge veröffentlicht hat, bis zu seiner Ausreise indes nie in den Fokus der Behörden geraten ist, spricht gegen ein erhöhtes behördliches Inte- resse an ihm.</w:t>
      </w:r>
    </w:p>
    <w:p>
      <w:r>
        <w:rPr>
          <w:b/>
        </w:rPr>
        <w:t>E. 6.6</w:t>
      </w:r>
    </w:p>
    <w:p>
      <w:r>
        <w:t>Nach dem gesagten kann auch die Frage offen gelassen werden, ob es sich bei den eingereichten türkischen Verfahrensdokumenten um echte Beweismittel handelt (vgl. etwa Urteile des BVGer D-920/2024 vom 7. Ok- tober 2024 E. 6.3; E-5158/2024 vom 3. Oktober 2024 E. 6.3; E-3923/2024 vom 1. Oktober 2024 E. 7.1, je m.w.H.)</w:t>
      </w:r>
    </w:p>
    <w:p>
      <w:r>
        <w:rPr>
          <w:b/>
        </w:rPr>
        <w:t>E. 6.7</w:t>
      </w:r>
    </w:p>
    <w:p>
      <w:r>
        <w:t>Gemäss gefestigter Rechtsprechung führen die Nachteile, die der Be- schwerdeführer als Angehöriger der kurdischen Ethnie erlebt habe, nicht zur Bejahung der Flüchtlingseigenschaft. Die kurdische Bevölkerung ist in der Türkei bekanntermassen vielfältigen Schikanen und Diskriminierungen ausgesetzt. Im Hinblick auf die Frage des Asyls sind solche nicht intensiv genug, als dass sie das Leben im Herkunftsland unmöglich oder unan- nehmbar machen würden. Diese Einschätzung bleibt trotz der sich seit dem Putschversuch im Jahr 2016 verschlechternden Situation der Men- schenrechte in der Türkei gültig. Im Übrigen stellt das Bundesverwaltungs- gericht praxisgemäss sehr hohe Anforderungen an die Bejahung einer Kol- lektivverfolgung (vgl. etwa Urteile BVGer D-4435/2022 vom 24. Oktober 2022 E. 6.5, D-707/2022 vom 19. Oktober 2022 E. 7.6 oder E-4621/2020 vom 14. April 2022 E. 5.4, je m.w.H.), die im Fall der Kurden und Aleviten - auch unter Berücksichtigung der aktuellen politischen Entwicklungen in der Türkei - nicht erfüllt sind (vgl. etwa Urteil BVGer E-3917/2021 vom 11. Ja- nuar 2022 E. 6.3).</w:t>
      </w:r>
    </w:p>
    <w:p>
      <w:r>
        <w:t>E-7507/2024 Seite 10</w:t>
      </w:r>
    </w:p>
    <w:p>
      <w:r>
        <w:rPr>
          <w:b/>
        </w:rPr>
        <w:t>E. 6.8</w:t>
      </w:r>
    </w:p>
    <w:p>
      <w:r>
        <w:t>Abschliessend ist festzustellen, dass seine geltend gemachte exilpoli- tische Tätigkeit in der Schweiz keine subjektiven Nachfluchtgründe zu be- gründen vermögen (vgl. Beschwerde S. 24-25). Seine angebliche Teil- nahme an Protesten der kurdischen Diaspora hat er mit keinerlei Beweis- mittel untermauert, wodurch dieses Vorbringen gänzlich unbelegt ist. Auch mit seinen gelegentlichen Beiträgen auf Facebook vermag er nach dem Gesagten (E. 6.2 – 6.6) nichts zu seinen Gunsten ableiten.</w:t>
      </w:r>
    </w:p>
    <w:p>
      <w:r>
        <w:rPr>
          <w:b/>
        </w:rPr>
        <w:t>E. 6.9</w:t>
      </w:r>
    </w:p>
    <w:p>
      <w:r>
        <w:t>Zusammenfassend kann dem Beschwerdeführer keine objektiv be- gründete Furcht vor asylrechtlich relevanter Verfolgung zuerkannt werden. Das SEM hat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E-7507/2024 Seite 11</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D-5241/2024 vom 20. September 2024 E. 8.4.2).</w:t>
      </w:r>
    </w:p>
    <w:p>
      <w:r>
        <w:rPr>
          <w:b/>
        </w:rPr>
        <w:t>E. 8.3.3</w:t>
      </w:r>
    </w:p>
    <w:p>
      <w:r>
        <w:t>Es liegen keine Anhaltspunkte dafür vor, dass die Rückkehr des Be- schwerdeführers unzumutbar wäre. Diesbezüglich kann mangels Be- schwerdeausführungen auf die zutreffenden Erwägungen der Vorinstanz verwiesen werden, denen sich das Gericht vollumfänglich anschliesst (vgl. a.a.O. E. III Ziff. 2).</w:t>
      </w:r>
    </w:p>
    <w:p>
      <w:r>
        <w:t>E-7507/2024 Seite 12</w:t>
      </w:r>
    </w:p>
    <w:p>
      <w:r>
        <w:rPr>
          <w:b/>
        </w:rPr>
        <w:t>E. 8.3.4</w:t>
      </w:r>
    </w:p>
    <w:p>
      <w:r>
        <w:t>Nach dem Gesagten erweist sich der Vollzug der Wegweisung auch als zumutbar.</w:t>
      </w:r>
    </w:p>
    <w:p>
      <w:r>
        <w:rPr>
          <w:b/>
        </w:rPr>
        <w:t>E. 8.4</w:t>
      </w:r>
    </w:p>
    <w:p>
      <w:r>
        <w:t>Es ist schliesslich ohne Weiteres von der Möglichkeit des Wegwei- sungsvollzugs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ist der Subeventualantrag auf Rückweisung an die Vorinstanz ebenfalls abzuweisen. Eine Verletzung des rechtlichen Gehörs ist nicht er- sichtlich, da sich die Vorinstanz hinlänglich und in der angezeigten Tiefe mit den eingereichten türkischen Justizdokumenten auseinandergesetzt hat. Auch das Begehren auf «Einsicht in den Analysenbericht» ist abzuwei- sen, zumal diese nicht begründet wurde und sich aus den Akten im Übrigen gar nicht erschliesst, welches Dokument damit überhaupt gemeint sein soll. Ohnehin wurde das Asylgesuch infolge fehlender Asylrelevanz abgewie- sen, so dass – wie bereits erwähnt – die Authentizität der Dokumente im Resultat offen gelassen werden kann. Schliesslich ist der nicht weiter be- gründete Antrag im Fliesstext der Beschwerde, wonach die Akten des Asyl- verfahrens N (…) und N (…) zu edieren seien, abzuweisen, zumal auch die erstere N-Nummer einer anderen, am Verfahren unbeteiligten Person zu- gehörig ist und es sich offensichtlich um ein Versehen der Rechtsvertreterin handelt.</w:t>
      </w:r>
    </w:p>
    <w:p>
      <w:r>
        <w:rPr>
          <w:b/>
        </w:rPr>
        <w:t>E. 10.1</w:t>
      </w:r>
    </w:p>
    <w:p>
      <w:r>
        <w:t>Das in der Beschwerdeverbesserung gestellte Gesuch um Beiordnung der rubrizierten Rechtsvertreterin als amtliche Rechtsbeiständin ist auch abzu- weisen, nachdem mit Zwischenverfügung vom 3. Dezember 2024 die un- entgeltliche Prozessführung bereits abgewiesen wurde und die Sache wei- terhin als aussichtslos einzustufen ist.</w:t>
      </w:r>
    </w:p>
    <w:p>
      <w:r>
        <w:t>E-7507/2024 Seite 13</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vom Beschwerdeführer bereits geleistete Kos- tenvorschuss in gleicher Höhe ist zur Begleichung der Verfahrenskosten zu verwenden.</w:t>
      </w:r>
    </w:p>
    <w:p>
      <w:r>
        <w:t>(Dispositiv nächste Seite)</w:t>
      </w:r>
    </w:p>
    <w:p>
      <w:r>
        <w:t>E-7507/2024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