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E-7496/2015 vom 4. Juli 2017</w:t>
      </w:r>
    </w:p>
    <w:p>
      <w:r>
        <w:t>Bundesverwaltungsgericht, 2017-07-04, DE</w:t>
      </w:r>
    </w:p>
    <w:p>
      <w:r>
        <w:rPr>
          <w:b/>
        </w:rPr>
        <w:t xml:space="preserve">Quelle: </w:t>
      </w:r>
      <w:r>
        <w:t>https://mcp.opencaselaw.ch/entscheid/bvger_E-7496_2015</w:t>
      </w:r>
    </w:p>
    <w:p>
      <w:r>
        <w:t>FR: TAF E-7496/2015 du 4 juillet 2017</w:t>
      </w:r>
    </w:p>
    <w:p>
      <w:r>
        <w:t>IT: TAF E-7496/2015 del 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(vorgesehen zur Publikation als Referenzurteil)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der Beschwerdeführenden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Die Angelegenheit wird zu neuer Entscheidung an das SEM zurückgewiesen.</w:t>
      </w:r>
    </w:p>
    <w:p>
      <w:r>
        <w:rPr>
          <w:b/>
        </w:rPr>
        <w:t>E. 5.1</w:t>
      </w:r>
    </w:p>
    <w:p>
      <w:r>
        <w:t>Bei diesem Ausgang des Verfahrens sind keine Kosten zu erheben (Art. 63 Abs. 1 und 2 VwVG), womit der mit Zwischenverfügung vom 2. Dezember 2015 gutgeheissene Antrag auf Gewährung der unentgeltlichen Rechtspflege im Sinne von Art. 65 Abs. 1 VwVG gegenstandslos wird.</w:t>
      </w:r>
    </w:p>
    <w:p>
      <w:r>
        <w:rPr>
          <w:b/>
        </w:rPr>
        <w:t>E. 5.2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stellte in seiner Beschwerdefrist eine Kostennote über insgesamt Fr. 1'026.- aus. Die dort aufgeführte einmalige Pauschale von Fr. 54.- ist vom Gericht praxisgemäss nicht zu entschädigen. Der zeitliche Aufwand von 5 Stunden erscheint demgegenüber angemessen. In Berücksichtigung des Aufwandes für die Replik und die in Betracht zu ziehenden Bemessungsfaktoren (Art. 9-13 VGKE) ist den Beschwerdeführenden zulasten der Vorinstanz eine Parteientschädigung von insgesamt Fr. 1'067.-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