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E-747/2010 vom 20. Oktober 2010</w:t>
      </w:r>
    </w:p>
    <w:p>
      <w:r>
        <w:t>Bundesverwaltungsgericht, 2010-10-20, FR</w:t>
      </w:r>
    </w:p>
    <w:p>
      <w:r>
        <w:rPr>
          <w:b/>
        </w:rPr>
        <w:t xml:space="preserve">Quelle: </w:t>
      </w:r>
      <w:r>
        <w:t>https://mcp.opencaselaw.ch/entscheid/bvger_E-747_2010</w:t>
      </w:r>
    </w:p>
    <w:p>
      <w:r>
        <w:t>FR: TAF E-747/2010 du 20 octobre 2010</w:t>
      </w:r>
    </w:p>
    <w:p>
      <w:r>
        <w:t>IT: TAF E-747/2010 del 20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w:t>
      </w:r>
    </w:p>
    <w:p>
      <w:r>
        <w:rPr>
          <w:b/>
        </w:rPr>
        <w:t>E. 1.2</w:t>
      </w:r>
    </w:p>
    <w:p>
      <w:r>
        <w:t>Les intéressés ont qualité pour recourir. Présenté dans la forme et les délais prescrits par la loi, les recours sont recevables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Les recours ne contiennent sur ce point ni arguments ni moyens de preuve susceptibles de remettre en cause le bien-fondé des décisions querellées.</w:t>
      </w:r>
    </w:p>
    <w:p>
      <w:r>
        <w:rPr>
          <w:b/>
        </w:rPr>
        <w:t>E. 3.2</w:t>
      </w:r>
    </w:p>
    <w:p>
      <w:r>
        <w:t>Les intéressés, qui sont d'origine rom et ashkali, ont fait valoir comme motif d'asile que A._______ avait été frappé et B._______ violée à leur domicile par des inconnus qui recherchaient le père du recourant. Selon les intéressés, les raisons de cette agression résulteraient du fait que le père de A._______ était accusé d'avoir combattu contre les Serbes. Ils ont, par ailleurs, précisé qu'ils n'avaient jamais rencontré de problème avec les autorités de leur pays.</w:t>
      </w:r>
    </w:p>
    <w:p>
      <w:r>
        <w:rPr>
          <w:b/>
        </w:rPr>
        <w:t>E. 3.3</w:t>
      </w:r>
    </w:p>
    <w:p>
      <w:r>
        <w:t>Il convient tout d'abord de souligner que l'appartenance à la minorité ethnique rom ou ashkali ne représente pas, à elle seule, un réel risque de persécution au sens de l'art. 3 LAsi. Si, en Serbie, les membres de ces minorités sont certes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w:t>
      </w:r>
    </w:p>
    <w:p>
      <w:r>
        <w:rPr>
          <w:b/>
        </w:rPr>
        <w:t>E. 3.4</w:t>
      </w:r>
    </w:p>
    <w:p>
      <w:r>
        <w:t>Cela précisé, selon la jurisprudence, il convient d'imputer à l'Etat le comportement non seulement de ses agents, mais également celui de tiers qui infligent des préjudices déterminants en matière d'asile, lorsqu'il n'entreprend rien pour les empêcher ou pour sanctionner leurs agissements ou, sans intention délibérée de nuire, parce qu'il n'a pas la capacité de les prévenir (cf. JICRA 2006 n° 18 consid. 7 à 9 p. 190ss). Autrement dit,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 (cf. à ce propos JICRA 2006 n° 18 consid. 10.1 p. 201 et JICRA 2000 n° 15 p. 107ss, spéc. consid. 7).</w:t>
      </w:r>
    </w:p>
    <w:p>
      <w:r>
        <w:rPr>
          <w:b/>
        </w:rPr>
        <w:t>E. 3.5</w:t>
      </w:r>
    </w:p>
    <w:p>
      <w:r>
        <w:t>Il s'agit donc d'examiner, en l'espèce, si les recourants peuvent bénéficier, en Serbie, d'un accès concret à des structures de protection adéquates et s'il peut être raisonnablement exigé d'eux qu'ils fassent appel à ce système de protection interne (cf. JICRA 2006 n° 18 consid. 10.3 p. 203s.).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(cf. UK Home Office, Operational guidance note du 1er septembre 2008, ch. 3.6.1 à 3.6.12 ; cf. aussi Minority Rights Group International, Pushing for Change? South East Europe's Minorities in the EU Progress Reports, Londres juillet 2008). Dès lors, la capacité et la volonté des autorités serbes d'empêcher la survenance d'agissements tels que ceux allégués par les recourants ne peuvent être déniées. On ne peut donc suivre les intéressés, lorsqu'ils prétendent qu'il ne leur aurait servi à rien de déposer une plainte afin d'obtenir une protection de la part de ces autorités. Autrement dit, les recourants n'ayant pas tenté de dénoncer l'affaire aux autorités compétentes de leur pays d'origine, ils n'ont pas établi que le comportement de leurs agresseurs aurait été soutenu, encouragé ou approuvé par l'Etat et que les forces de l'ordre auraient renoncé à les protéger ou auraient été dans l'incapacité de le faire. Ainsi, les recourants n'ont pas, en tout état de cause, entrepris les démarches qui pouvaient être attendues d'eux afin de faire valoir leurs droits auprès des autorités compétentes. Au surplus, le Tribunal relève encore que la Serbie a été désignée par le Conseil fédéral comme Etat exempt de persécutions, au sens de l'art. 6a al. 2 let. a LAsi, avec effet au 1er avril 2009. En conséquence, les motifs invoqués ne sont pas pertinents en matière d'asile. La question de la vraisemblance des préjudices prétendument subis peut dès lors être laissée indécise. Cela dit, le Tribunal relève, au passage, l'indigence qui caractérise les récits relatés et les divergences existant entre les déclarations des deux époux, lesquelles ne sont du reste étayées par aucun élément concret et sérieux. Enfin, le rapport d'Amnesty International cité par les intéressés et l'extrait du rapport établi en mars 2009 par le Commissaire aux droits de l'homme produit à l'appui de leur recours ne sauraient se révéler pertinents, dans la mesure où ces documents sont de portée générale et ne les concernent dès lors pas personnellement.</w:t>
      </w:r>
    </w:p>
    <w:p>
      <w:r>
        <w:rPr>
          <w:b/>
        </w:rPr>
        <w:t>E. 3.6</w:t>
      </w:r>
    </w:p>
    <w:p>
      <w:r>
        <w:t>Il s'ensuit que les recours, en tant qu'ils contestent le refus de la reconnaissance de la qualité de réfugié et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en Serbie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w:t>
      </w:r>
    </w:p>
    <w:p>
      <w:r>
        <w:rPr>
          <w:b/>
        </w:rPr>
        <w:t>E. 7.2</w:t>
      </w:r>
    </w:p>
    <w:p>
      <w:r>
        <w:t>En l'occurrence, le Tribunal ne saurait admettre que la situation actuelle prévalant en Serbie est en soi constitutive d'un empêchement à la réinstallation des recourants. En effet,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s'agit dès lors de déterminer si, au vu de la situation personnelle des recourants, l'exécution de leur renvoi est également raisonnablement exigible.</w:t>
      </w:r>
    </w:p>
    <w:p>
      <w:r>
        <w:rPr>
          <w:b/>
        </w:rPr>
        <w:t>E. 7.3.1</w:t>
      </w:r>
    </w:p>
    <w:p>
      <w:r>
        <w:t>En l'espèce, B._______ fait valoir des problèmes d'ordre médical qui, selon elle, devraient s'opposer à l'exécution de son renvoi. Il ressort du certificat médical établi le 5 août 2010, que B._______ souffre d'un état de stress post-traumatique, d'un épisode dépressif léger sans syndrome somatique et de trouble panique. L'intéressée est suivie depuis le 23 juin 2010 et bénéficie d'une psychothérapie de soutien à raison d'une fois par semaine. Un traitement médicamenteux sera instauré quand elle n'allaitera plus son dernier enfant. Au vu de ce qui précède, force est de constater que les problèmes de santé de la recourante ne constituent pas de graves affections et n'ont d'ailleurs jamais impliqué la mise en place d'un traitement lourd en milieu hospitalier. Ainsi, en l'état actuel, il n'apparaît manifestement pas que les troubles dont souffre l'intéressée soient de nature à mettre sa vie ou sa santé concrètement en danger à brève échéance, en cas de retour en Serbie. Par ailleurs, sur la base des informations à disposition du Tribunal, les médicaments et les traitements nécessaires aux troubles psychiques sont, en général, disponibles en Serbie et les personnes enregistrées dans ce pays y ont accès moyennant une modique contribution, voire gratuitement (cf. notamment arrêt du Tribunal administratif fédéral du 23 mars 2010 D-5962/2006). Les recourants, qui ont été enregistrés en Serbie, où des papiers d'identité leur ont été délivrés, ne devraient pas connaître de difficultés à se faire à nouveau enregistrer dans ce pays, dans la ville de leur choix, pour pouvoir bénéficier de l'aide sociale et médicale. Certes, le médecin en charge de l'intéressée craint une péjoration de l'état de santé de sa patiente avec risque suicidaire en cas de retour dans son pays d'origine. Quand bien même le Tribunal est conscient de l'impact négatif qu'est susceptible d'engendrer une décision relative à l'exécution du renvoi sur l'état de santé de l'intéressée, il considère qu'il appartiendra à ses thérapeutes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de générer une aggravation dépressive et de mener à une exacerbation de pensées suicidaires. Dans ces conditions, le Tribunal considère que les problèmes psychologiques de la recourante ne sont pas graves au point de devoir renoncer à l'exécution de son renvoi. Ce d'autant moins que, comme indiqué plus haut, la Serbie dispose de structures médicales susceptibles de prendre en charge les problèmes de santé évoqués et que l'intéressée pourra également compter sur le soutien de ses proches, notamment son mari et ses parents.</w:t>
      </w:r>
    </w:p>
    <w:p>
      <w:r>
        <w:rPr>
          <w:b/>
        </w:rPr>
        <w:t>E. 7.3.2</w:t>
      </w:r>
    </w:p>
    <w:p>
      <w:r>
        <w:t>S'agissant des trois enfants du couple, le Tribunal retient qu'ils sont encore très jeunes, l'aîné étant âgé de (...) ans, et qu'ils ne sont arrivés en Suisse que depuis moins d'une année. Dès lors, la durée de leur séjour en Suisse ne saurait être décisive.</w:t>
      </w:r>
    </w:p>
    <w:p>
      <w:r>
        <w:rPr>
          <w:b/>
        </w:rPr>
        <w:t>E. 7.4</w:t>
      </w:r>
    </w:p>
    <w:p>
      <w:r>
        <w:t>En outre, il ne ressort du dossier aucun élément dont on pourrait inférer que l'exécution du renvoi impliquerait une mise en danger concrète des recourants. A cet égard, le Tribunal relève que ceux-ci sont jeunes. A._______ est au bénéfice d'une expérience professionnelle et n'a pas allégué de problème de santé particulier. Au demeurant, les intéressés disposent d'un réseau familial (notamment les parents de la recourante et la grand-mère du recourant) dans leur pays, sur lequel ils pourront compter à leur retour. Ils détiennent de plus des documents d'identité leur permettant de bénéficier de l'ensemble des services de l'Etat serbe, à commencer par une prise en charge sociale.</w:t>
      </w:r>
    </w:p>
    <w:p>
      <w:r>
        <w:rPr>
          <w:b/>
        </w:rPr>
        <w:t>E. 7.5</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7.6</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les recours, en tant qu'ils contestent les décisions de renvoi et son exécution, doivent être également rejetés.</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Cela étant, les intéressés ayant déposé une demande d'assistance judiciaire partielle, il convient de l'admettre dès lors qu'ils sont indigents et qu'au moment du dépôt des recours, leurs conclusions n'étaient pas d'emblée vouées à l'échec (art. 65 al. 1 PA). En conséquence,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