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E-7476/2016 vom 12. Dezember 2016</w:t>
      </w:r>
    </w:p>
    <w:p>
      <w:r>
        <w:t>Bundesverwaltungsgericht, 2016-12-12, DE</w:t>
      </w:r>
    </w:p>
    <w:p>
      <w:r>
        <w:rPr>
          <w:b/>
        </w:rPr>
        <w:t xml:space="preserve">Quelle: </w:t>
      </w:r>
      <w:r>
        <w:t>https://mcp.opencaselaw.ch/entscheid/bvger_E-7476_2016</w:t>
      </w:r>
    </w:p>
    <w:p>
      <w:r>
        <w:t>FR: TAF E-7476/2016 du 12 décembre 2016</w:t>
      </w:r>
    </w:p>
    <w:p>
      <w:r>
        <w:t>IT: TAF E-7476/2016 del 12 dicembre 2016</w:t>
      </w:r>
    </w:p>
    <w:p>
      <w:pPr>
        <w:pStyle w:val="Heading2"/>
      </w:pPr>
      <w:r>
        <w:t>Regeste</w:t>
      </w:r>
    </w:p>
    <w:p>
      <w:r>
        <w:t>Asyl und Wegweisung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richtet sich vorliegend gegen eine Verfügung, mit der ein Wiedererwägungsgesuch abgewiesen wurde. Im Beschwerdeverfahren ist folglich nur zu prüfen, ob die Vorinstanz Wiedererwägungsgründe zu Recht oder Unrecht verneint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der bundesgerichtlichen Rechtsprechung zu Art. 29 BV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w:t>
      </w:r>
    </w:p>
    <w:p>
      <w:r>
        <w:rPr>
          <w:b/>
        </w:rPr>
        <w:t>E. 4</w:t>
      </w:r>
    </w:p>
    <w:p>
      <w:r>
        <w:t>Die Schlussfolgerungen der Vorinstanz sind weder in tatsächlicher noch in rechtlicher Hinsicht zu beanstanden. Die angefochtene Verfügung ist einlässlich begründet. Die Rechtsmitteleingabe erschöpft sich in Wiederholungen des bereits Vorgetragenen und in Erklärungsversuchen, womit sie nicht aufzeigt, inwiefern die vorinstanzliche Beweiswürdigung Bundesrecht verletzen oder zu einer rechtsfehlerhaften Sachverhaltsfeststellung führen soll. Solches ist auch nicht ersichtlich. So zieht die Vorinstanz den Tod der Mutter nicht in Zweifel und erkennt zu Recht, dass dieses Ereignis in rechtlicher Hinsicht unerheblich ist, zumal es sich bei der Beschwerdeführerin um eine gesunde, volljährige junge Frau mit guter Schulbildung und überdurchschnittlicher Lebenserfahrung handelt. Die Ausführungen der Vorinstanz zum familiären Beziehungsnetz der Beschwerdeführerin sind nicht zu beanstanden. Was die Beschwerdeführerin hiergegen ins Recht legt (mehrere Schreiben aus Libanon von Freunden, der Tante sowie weiteren Verwandten und des Dekans), ist nicht geeignet, am Beweisergebnis etwas zu ändern, sondern bestätigt vielmehr, dass sie vor Ort Freunde, eine Tante, weitere Verwandte und einen ihr wohlgesonnenen Universitätsdekan hat, mithin über ein intaktes Beziehungsnetz verfügt. Hinzu kommt, dass ihr volljähriger Bruder ebenfalls vor Ort in Libanon sein wird und sie neben dem bestehenden Beziehungsnetz - sofern überhaupt notwendig - auf dessen Hilfe sowie auf die finanzielle Unterstützung ihres in der Schweiz eingebürgerten und hier arbeitstätigen Vaters zurückgreifen kann. Um Wiederholungen zu vermeiden, ist auf die zutreffenden Ausführungen der Vorinstanz zu verweisen.</w:t>
      </w:r>
    </w:p>
    <w:p>
      <w:r>
        <w:rPr>
          <w:b/>
        </w:rPr>
        <w:t>E. 5</w:t>
      </w:r>
    </w:p>
    <w:p>
      <w:r>
        <w:t>Zusammenfassend ist festzuhalten, dass keine Wiedererwägungsgründe dargetan worden sind und die Vorinstanz das Gesuch um Wiedererwägung zu Recht abgewiesen hat.</w:t>
      </w:r>
    </w:p>
    <w:p>
      <w:r>
        <w:rPr>
          <w:b/>
        </w:rPr>
        <w:t>E. 6</w:t>
      </w:r>
    </w:p>
    <w:p>
      <w:r>
        <w:t>Aus diesen Erwägungen ergibt sich, dass die angefochtene Verfügung Bundesrecht nicht verletzt und auch sonst nicht zu beanstanden ist (Art. 106 AsylG). Die Beschwerde ist abzuweisen. Mit vorliegendem Urteil ist der Antrag auf aufschiebende Wirkung gegenstandslos geworden.</w:t>
      </w:r>
    </w:p>
    <w:p>
      <w:r>
        <w:rPr>
          <w:b/>
        </w:rPr>
        <w:t>E. 7.1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von Fr. 1'200.- (Art. 1-3 des Reglements vom 21. Februar 2008 über die Kosten und Entschädigungen vor dem Bundesverwaltungsgericht [VGKE], SR 173.320.2) der Beschwerdeführerin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