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E-7470/2009 vom 11. Dezember 2009</w:t>
      </w:r>
    </w:p>
    <w:p>
      <w:r>
        <w:t>Bundesverwaltungsgericht, 2009-12-11, FR</w:t>
      </w:r>
    </w:p>
    <w:p>
      <w:r>
        <w:rPr>
          <w:b/>
        </w:rPr>
        <w:t xml:space="preserve">Quelle: </w:t>
      </w:r>
      <w:r>
        <w:t>https://mcp.opencaselaw.ch/entscheid/bvger_E-7470_2009</w:t>
      </w:r>
    </w:p>
    <w:p>
      <w:r>
        <w:t>FR: TAF E-7470/2009 du 11 décembre 2009</w:t>
      </w:r>
    </w:p>
    <w:p>
      <w:r>
        <w:t>IT: TAF E-7470/2009 del 11 dicembre 2009</w:t>
      </w:r>
    </w:p>
    <w:p>
      <w:pPr>
        <w:pStyle w:val="Heading2"/>
      </w:pPr>
      <w:r>
        <w:t>Regeste</w:t>
      </w:r>
    </w:p>
    <w:p>
      <w:r>
        <w:t>Asile (non-entrée en matière)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l'autorité intimée.</w:t>
      </w:r>
    </w:p>
    <w:p>
      <w:r>
        <w:rPr>
          <w:b/>
        </w:rPr>
        <w:t>E. 1.3</w:t>
      </w:r>
    </w:p>
    <w:p>
      <w:r>
        <w:t>L'intéressé a qualité pour recourir (art. 48 al. 1 PA). Interjeté dans la forme (art. 52 PA) et le délai (art. 108 al. 2 LAsi) prescrits par la loi, son recours est recevable.</w:t>
      </w:r>
    </w:p>
    <w:p>
      <w:r>
        <w:rPr>
          <w:b/>
        </w:rPr>
        <w:t>E. 1.4</w:t>
      </w:r>
    </w:p>
    <w:p>
      <w:r>
        <w:t>Saisie d'un recours contre une décision de non-entrée en matière sur une demande d'asile, l'autorité de recours se limite à examiner le bien-fondé d'une telle décision ; les motifs d'asile invoqués dans un tel recours ne peuvent faire l'objet d'un examen matériel (JICRA 2004 n° 34 consid. 2.1. p. 240 s. ; JICRA 1996 n° 5 consid. 3 p. 39 ; JICRA 1995 n° 14 consid. 4 p. 127 s., et jurisp. cit.).</w:t>
      </w:r>
    </w:p>
    <w:p>
      <w:r>
        <w:rPr>
          <w:b/>
        </w:rPr>
        <w:t>E. 2.1</w:t>
      </w:r>
    </w:p>
    <w:p>
      <w:r>
        <w:t>En l'espèce, il s'agit de se prononcer d'abord sur le grief de nature formelle invoqué par le recourant, à savoir l'existence d'une violation du droit d'être entendu, celui-ci reprochant à l'ODM de n'avoir pas correctement motivé sa décision.</w:t>
      </w:r>
    </w:p>
    <w:p>
      <w:r>
        <w:rPr>
          <w:b/>
        </w:rPr>
        <w:t>E. 2.2</w:t>
      </w:r>
    </w:p>
    <w:p>
      <w:r>
        <w:t>A cet égard, il convient de rappeler que la motivation de la décision doit révéler les éléments de fait et de droit essentiels qui ont influencé l'autorité, autrement dit les motifs qui l'ont guidée et sur lesquels elle a fondé sa décision, de manière que l'intéressé puisse se rendre compte de la portée de celle-ci et l'attaquer en connaissance de cause (cf. ATF 129 I 232 consid. 3.2 p. 236, ATF 126 I 97 consid. 2 p. 102 s. et les arrêts cités ; JICRA 2006 n° 4 consid. 5 p. 44 ss, JICRA 1995 n° 12 consid. 12c p. 114 ss, JICRA 1995 n° 5 consid. 7 p. 48 ss, JICRA 1994 n° 3 consid. 4a p. 25). L'on ne saurait en outre exiger des autorités administratives, qui doivent rendre un grand nombre de décisions, qu'elles les motivent de façon aussi développée qu'une autorité de recours ; il suffit que les explications, bien que sommaires, permettent de saisir les éléments sur lesquels l'autorité s'est fondée. De surcroît, l'exécution du renvoi n'étant que la conséquence légale d'une décision négative en matière d'asile, elle n'exige pas, en règle générale, une motivation aussi soutenue que celle requise pour la question fondamentale de l'asile (cf. JICRA précitées).</w:t>
      </w:r>
    </w:p>
    <w:p>
      <w:r>
        <w:rPr>
          <w:b/>
        </w:rPr>
        <w:t>E. 2.3</w:t>
      </w:r>
    </w:p>
    <w:p>
      <w:r>
        <w:t>En l'occurrence, le Tribunal constate que l'ODM a motivé de manière suffisamment claire sa décision en ce qui concerne les raisons pour lesquelles il a estimé que le comportement de l'intéressé permettait l'application de l'art. 32 al. 2 let. c LAsi. Cet office n'étant, par voie de conséquence, pas entré en matière sur sa demande d'asile, il n'était pas tenu d'examiner aussi si le recourant remplissait les conditions mises à la reconnaissance de la qualité de réfugié. Il suffisait à l'ODM d'analyser cet aspect, dans la mesure de ses possibilités - fort restreintes vu le défaut de collaboration de l'intéressé - dans le cadre de l'examen de l'existence d'éventuels obstacles à l'exécution du renvoi, domaine où la motivation d'une décision n'a pas nécessairement besoin d'être aussi soutenue que s'agissant de la question centrale de l'asile. Or, malgré ces exigences réduites, l'ODM a tout de même fourni une motivation personnalisée et élaborée, qui permettait manifestement de se rendre compte pour quelles raisons il avait estimé que le renvoi de Suisse de l'intéressé et l'exécution de cette mesure étaient conformes aux exigences légales.</w:t>
      </w:r>
    </w:p>
    <w:p>
      <w:r>
        <w:rPr>
          <w:b/>
        </w:rPr>
        <w:t>E. 2.4</w:t>
      </w:r>
    </w:p>
    <w:p>
      <w:r>
        <w:t>Partant, l'intéressé ne saurait prétendre que la motivation de l'ODM l'a empêché de saisir les raisons qui ont conduit cet office à prendre une telle décision et qu'il n'aurait pas été en mesure de la contester en toute connaissance de cause pour ce motif. Une violation de son droit d'être entendu ne saurait dès lors être retenue.</w:t>
      </w:r>
    </w:p>
    <w:p>
      <w:r>
        <w:rPr>
          <w:b/>
        </w:rPr>
        <w:t>E. 3.1</w:t>
      </w:r>
    </w:p>
    <w:p>
      <w:r>
        <w:t>Il s'agit maintenant de déterminer si l'ODM a appliqué à juste titre l'art. 32 al. 2 let. c LAsi, selon lequel il n'est pas entré en matière sur une demande d'asile lorsque le requérant s'est rendu coupable d'une violation grave de son obligation de collaborer (autre que celles prévues aux lettres a et b de cette disposition).</w:t>
      </w:r>
    </w:p>
    <w:p>
      <w:r>
        <w:rPr>
          <w:b/>
        </w:rPr>
        <w:t>E. 3.2</w:t>
      </w:r>
    </w:p>
    <w:p>
      <w:r>
        <w:t>Pour motiver la sanction de non-entrée en matière, la violation de l'obligation de collaborer ne doit pas être intentionnelle, mais simplement être imputable à faute. Tel est le cas lorsque le comportement en cause (acte ou omission) ne peut raisonnablement se justifier au regard de l'âge, de la formation, du statut social et professionnel de l'intéressé (JICRA 2003 n° 22 consid. 4a p. 142 s. ; JICRA 2000 n° 8, spéc. consid. 5a p. 68 s. ; Message du Conseil fédéral du 4 décembre 1995 concernant la révision totale de la loi sur l'asile, p. 56 s.).</w:t>
      </w:r>
    </w:p>
    <w:p>
      <w:r>
        <w:rPr>
          <w:b/>
        </w:rPr>
        <w:t>E. 3.3</w:t>
      </w:r>
    </w:p>
    <w:p>
      <w:r>
        <w:t>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et jurisp. cit.).</w:t>
      </w:r>
    </w:p>
    <w:p>
      <w:r>
        <w:rPr>
          <w:b/>
        </w:rPr>
        <w:t>E. 4.1</w:t>
      </w:r>
    </w:p>
    <w:p>
      <w:r>
        <w:t>Il convient donc d'examiner, dans un premier temps, si le recourant a commis une violation grave de son devoir de collaborer au sens de l'art. 32 al. 2 let. c LAsi et, dans un second temps, si la violation reprochée lui est imputable à faute.</w:t>
      </w:r>
    </w:p>
    <w:p>
      <w:r>
        <w:rPr>
          <w:b/>
        </w:rPr>
        <w:t>E. 4.2</w:t>
      </w:r>
    </w:p>
    <w:p>
      <w:r>
        <w:t>L'obligation de collaborer exige la participation active du recourant à la constatation des faits, celui-ci devant en particulier collaborer à la saisie de ses données biométriques (art. 8 al. 1 let. e LAsi). En l'occurrence, il est patent que le comportement de l'intéressé a empêché à deux reprises la saisie de ses empreintes digitales. Vu l'importance de cet acte de procédure (p. ex. pour déterminer, en application la réglementation dite « Dublin », l'Etat compétent pour traiter une [nouvelle] demande d'asile ou pour empêcher le dépôt de plusieurs demandes d'asile en Suisse sous des identités différentes), cette violation de collaborer doit être qualifiée de grave.</w:t>
      </w:r>
    </w:p>
    <w:p>
      <w:r>
        <w:rPr>
          <w:b/>
        </w:rPr>
        <w:t>E. 4.3</w:t>
      </w:r>
    </w:p>
    <w:p>
      <w:r>
        <w:t>En outre, il est patent que la violation de l'obligation de collaborer reprochée au recourant peut lui être imputée à faute. En effet, l'intéressé a sciemment saboté la saisie de ses empreintes digitales par l'ODM, la mauvaise qualité (ou la destruction) de ses lignes papillaires ne pouvant s'expliquer de la manière qu'il a exposée. En effet, il a déclaré qu'au cours du trajet en bateau de Libye en Italie, il avait placé ses mains humides d'essence sur le moteur brûlant du bateau, avant de les tremper dans l'eau de mer pour soulager ses souffrances ; il se serait ensuite soigné seul en appliquant tout d'abord de la vaseline, puis, après son arrivée au CEP de Vallorbe, une « sorte de shampoing pour tout le corps » semblable à de la crème. Or, l'examen de ses mains par l'ODM n'a pas permis de détecter de trace de brûlure et l'intéressé n'a pas consulté l'infirmière du CEP pour ce motif. En outre, il est ressorti de cet examen que la première phalange de ses doigts était recouverte d'un film brillant semblable à de la colle ou du vernis, qui n'avait nullement la consistance d'une crème. Rendu attentif à ce fait, l'intéressé a estimé que cela était sans doute dû à une « bactérie ». Dans ce contexte, le Tribunal rappelle encore que l'ODM est tenu de saisir les empreintes de tous les doigts (cf. à ce sujet art. 99 al. 1 LAsi). Or, il est improbable qu'une « brûlure », telle que l'intéressé l'a décrite, puisse causer une telle modification de la peau sur la première phalange seulement, et ceci pour tous les dix doigts.</w:t>
      </w:r>
    </w:p>
    <w:p>
      <w:r>
        <w:rPr>
          <w:b/>
        </w:rPr>
        <w:t>E. 4.4</w:t>
      </w:r>
    </w:p>
    <w:p>
      <w:r>
        <w:t>Vu de ce qui précède, c'est à juste titre que l'ODM n'est pas entré en matière sur la demande d'asile du recourant. Le recours doit donc être rejeté sur ce point et la décision de première instance confirmée.</w:t>
      </w:r>
    </w:p>
    <w:p>
      <w:r>
        <w:rPr>
          <w:b/>
        </w:rPr>
        <w:t>E. 5.1</w:t>
      </w:r>
    </w:p>
    <w:p>
      <w:r>
        <w:t>Lorsqu'il qu'il refuse d'entrer en matière sur une demande d'asile, l'ODM prononce, en règle générale, le renvoi de Suisse et en ordonne l'exécution ; il tient compte du principe de l'unité de la famille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5.2</w:t>
      </w:r>
    </w:p>
    <w:p>
      <w:r>
        <w:t>Aucune exception à la règle générale du renvoi n'étant réalisée, le Tribunal est tenu, de par la loi, de confirmer cette mesure.</w:t>
      </w:r>
    </w:p>
    <w:p>
      <w:r>
        <w:rPr>
          <w:b/>
        </w:rPr>
        <w:t>E. 6.1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w:t>
      </w:r>
    </w:p>
    <w:p>
      <w:r>
        <w:rPr>
          <w:b/>
        </w:rPr>
        <w:t>E. 6.2</w:t>
      </w:r>
    </w:p>
    <w:p>
      <w:r>
        <w:t>Bien que le caractère licite, possible et raisonnablement exigible de l'exécution du renvoi doive en principe être examiné d'office, le fait que l'intéressé n'a pas fourni les informations qu'il lui incombait de présenter à cet égard empêche l'autorité de procéder de manière concrète à cet examen. La maxime d'office, applicable en procédure administrative, trouve sa limite dans l'obligation qu'a la partie de collaborer à l'établissement des faits qu'elle est le mieux placée pour connaître (cf. en particulier JICRA 1995 n° 18 p. 183 ss). Or, le recourant a grossièrement et sciemment violé son devoir de collaboration en empêchant la saisie de ses empreintes digitales, méthode couramment utilisée pour empêcher un renvoi dans un autre Etat européen appartenant à l'espace Dublin (cf. à ce sujet en particulier l'ordonnance du Conseil d'Etat français du 2 novembre 2009 en la cause N° 332888), ce qui aurait constitué une alternative à l'exécution de son renvoi dans son Etat d'origine. Or, au vu de la situation qui prévaut dans les Etats européens concernés et de l'attitude dissimulante de l'intéressé, il est permis de présumer que rien ne s'opposerait à un renvoi dans l'un de ceux-ci.</w:t>
      </w:r>
    </w:p>
    <w:p>
      <w:r>
        <w:rPr>
          <w:b/>
        </w:rPr>
        <w:t>E. 6.3</w:t>
      </w:r>
    </w:p>
    <w:p>
      <w:r>
        <w:t>Concernant l'éventualité d'un renvoi dans le pays d'origine de l'intéressé - alternative qui n'est pas déterminante dans le présent cas d'espèce (cf. le consid. 6.2 ci-avant) - le Tribunal se limitera à relever qu'il n'est manifestement pas établi, en l'état du dossier, que l'exécution de cette mesure serait contraire à des engagements relevant du droit international (art. 83 al. 3 LEtr), à savoir en particulier le principe de non refoulement, tel qu'il est prévu à l'art. 5 LAsi ou encore à ceux découlant de l'art. 3 de la Convention du 4 novembre 1950 de sauvegarde des droits de l'homme et des libertés fondamentales (CEDH, RS 0.101) ou de l'art. 3 de la Convention du 10 décembre 1984 contre la torture et autres peines ou traitements cruels, inhumains ou dégradants (Conv. torture, RS 0.105). En effet, le recourant n'a déposé aucun document officiel ni autre moyen de preuve de nature à établir sa prétendue nationalité et la langue tygrinya est couramment utilisée non seulement en Erythrée, mais aussi en Ethiopie. En outre, même à supposer que l'intéressé soit véritablement érythréen, cela ne suffirait pas en l'état, au vu en particulier de l'attitude dissimulante du recourant et de l'absence totale de moyens de preuve, pour admettre que l'exécution du renvoi de l'intéressé contreviendrait aux conditions énoncées à l'art. 83 al. 2 à 4 LEtr. Le Tribunal se limitera à relever qu'il existe des doutes sérieux que l'intéressé ait pu véritablement être un déserteur. En effet, il a déclaré être un jeune adulte, avoir été recruté en 2005 et avoir servi dans l'armée au moment de son départ clandestin du pays. Or, de sérieux indices (apparence physique, âge de ses frères et de ses enfants [cf. pts. 11 et 12 p. 2 s. du procès-verbal de l'audition sommaire], absence de document officiel établissant son âge) permettent de présumer que l'intéressé est sensiblement plus âgé qu'il ne le prétend. En outre, il a déclaré avoir possédé une carte d'identité lorsqu'il a quitté illégalement son pays (cf. let. C in fine de l'état de fait), alors que seules les personnes libérées ou exemptées du service militaire peuvent obtenir un tel document.</w:t>
      </w:r>
    </w:p>
    <w:p>
      <w:r>
        <w:rPr>
          <w:b/>
        </w:rPr>
        <w:t>E. 6.4</w:t>
      </w:r>
    </w:p>
    <w:p>
      <w:r>
        <w:t>S'agissant de la possibilité de l'exécution du renvoi, le Tribunal rappelle qu'une admission provisoire pour ce motif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(JICRA 2006 n° 15 consid. 3.1 p. 163). Or, l'empêchement du renvoi dans un autre Etat européen est exclusivement dû au comportement de l'intéressé, qui pourrait quitter la Suisse sur une base volontaire. En outre, même à supposer qu'un renvoi forcé basé sur la réglementation dite « Dublin » ne soit pas techniquement réalisable, même à long terme, le Tribunal rappelle que la Suisse a aussi conclu des accord séparés de réadmission avec de nombreux Etats européens, dont l'Italie, où le recourant a reconnu avoir déjà séjourné.</w:t>
      </w:r>
    </w:p>
    <w:p>
      <w:r>
        <w:rPr>
          <w:b/>
        </w:rPr>
        <w:t>E. 6.5</w:t>
      </w:r>
    </w:p>
    <w:p>
      <w:r>
        <w:t>Il ressort de ce qui précède que le recours, en tant qu'il porte sur exécution du renvoi, doit également être rejeté.</w:t>
      </w:r>
    </w:p>
    <w:p>
      <w:r>
        <w:rPr>
          <w:b/>
        </w:rPr>
        <w:t>E. 7</w:t>
      </w:r>
    </w:p>
    <w:p>
      <w:r>
        <w:t>Vu son caractère manifestement infondé, le recours peut être rejeté par voie de procédure à juge unique avec l'approbation d'un second juge (art. 111 let. e LAsi), sans échange d'écritures (art. 111a al. 1 LAsi).</w:t>
      </w:r>
    </w:p>
    <w:p>
      <w:r>
        <w:rPr>
          <w:b/>
        </w:rPr>
        <w:t>E. 8.1</w:t>
      </w:r>
    </w:p>
    <w:p>
      <w:r>
        <w:t>Dans la mesure où les conclusions du recours étaient d'emblée vouées à l'échec, la demande d'assistance judiciaire partielle doit aussi être rejetée (art. 65 al. 1 PA).</w:t>
      </w:r>
    </w:p>
    <w:p>
      <w:r>
        <w:rPr>
          <w:b/>
        </w:rPr>
        <w:t>E. 8.2</w:t>
      </w:r>
    </w:p>
    <w:p>
      <w:r>
        <w:t>Cela étant, il y a lieu de mettre des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