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E-746/2015 vom 9. März 2015</w:t>
      </w:r>
    </w:p>
    <w:p>
      <w:r>
        <w:t>Bundesverwaltungsgericht, 2015-03-09, DE</w:t>
      </w:r>
    </w:p>
    <w:p>
      <w:r>
        <w:rPr>
          <w:b/>
        </w:rPr>
        <w:t xml:space="preserve">Quelle: </w:t>
      </w:r>
      <w:r>
        <w:t>https://mcp.opencaselaw.ch/entscheid/bvger_E-746_2015</w:t>
      </w:r>
    </w:p>
    <w:p>
      <w:r>
        <w:t>FR: TAF E-746/2015 du 9 mars 2015</w:t>
      </w:r>
    </w:p>
    <w:p>
      <w:r>
        <w:t>IT: TAF E-746/2015 del 9 marzo 2015</w:t>
      </w:r>
    </w:p>
    <w:p>
      <w:pPr>
        <w:pStyle w:val="Heading2"/>
      </w:pPr>
      <w:r>
        <w:t>Regeste</w:t>
      </w:r>
    </w:p>
    <w:p>
      <w:r>
        <w:t>Asyl (ohne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Art. 83 Bst. d Ziff. 1 BGG). Als Verfügungsadressatin ist die Beschwerdeführerin beschwerdelegitimiert. Auf die frist- und formgerecht eingereichte Beschwerde ist einzutreten (Art. 105 und 108 Abs. 1 AsylG; Art. 48 Abs. 1 sowie Art. 52 Abs. 1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anerkennt die Flüchtlingseigenschaft aufgrund subjektiver Nachfluchtgründe im Sinne von Art. 54 AsylG wegen illegaler Ausreise im militärdienstpflichtigen respektive rekrutierungsfähigen Alter. Die vorgebrachten Vorfluchtgründe hält sie dagegen für unglaubhaft. Erste Zweifel an der Glaubwürdigkeit der Beschwerdeführerin seien ihr wegen des Widerspruchs zwischen dem Auslandgesuch und den Vorbringen an den Befragungen gekommen. Ferner habe sie sich zu Haftdatum, -dauer, -umständen, zum Transport zum Gefängnis, zum Haftalltag und zur Freilassung nicht genau äussern können, ebenso wenig dazu, was ihr Ehemann bis zu seiner Ausreise gemacht habe sowie wann und unter welchen Umständen er ausgereist sei. Ihre Aussagen vermittelten nicht das Bild einer Person, die das Geschilderte tatsächlich erlebt habe.</w:t>
      </w:r>
    </w:p>
    <w:p>
      <w:r>
        <w:rPr>
          <w:b/>
        </w:rPr>
        <w:t>E. 5.2</w:t>
      </w:r>
    </w:p>
    <w:p>
      <w:r>
        <w:t>Für den eklatanten Widerspruch zwischen dem Auslandgesuch (vier Jahre Militärdienst und zwei Jahre Haft) und ihren Angaben an den Befragungen, wonach sie nie Militärdienst geleistet habe und nicht mehr als zwei Wochen inhaftiert gewesen sei, vermochte die Beschwerdeführerin weder an der Anhörung noch auf Beschwerdeebene überzeugende Erklärungen anzugeben. An der Anhörung wollte sie zunächst vom Asylgesuch, das ihre Schwester für sie gestellt hatte, nichts gewusst haben; später räumte sie ein, durch ihre Mutter vermittelt, mit ihrer Schwester in Kontakt gestanden zu haben, und erklärte die monierten Widersprüche mit Missverständnissen in der Kommunikation der Mutter mit der Schwester. Daran hielt sie auf Beschwerdeebene fest. Nicht zu überzeugen vermag insbesondere die auf Beschwerdeebene angebotene Erklärung, die Schwester habe wohl die angegebenen zwei Jahre Gefängnis mit der Drohung, sie müsse bis zu zwei Jahre ins Gefängnis, verwechselt. Ihrem Antrag, den Brief der Schwester aus dem Recht zu nehmen, kann nicht entsprochen werden. Selbst wenn man aber den Brief der Schwester nicht beachten würde, bliebe die Ungereimtheit bestehen, dass der Brief, den die Beschwerdeführerin angeblich aus dem Flüchtlingslager (...) geschrieben hat, älteren Datums (9. März 2012) ist als das an den Befragungen angegebene Ausreisedatum (30. April 2012) aus dem Heimatstaat. Entgegen ihrer Angabe an der Anhörung lässt sich dies nicht mit Verständigungsproblemen mit der Person, die für sie den Brief auf Englisch geschrieben habe, erklären. Ferner stimmen auch die Geburtsangaben nicht überein. An der Kurzbefragung gab sie überdies an, orthodox zu sein, und erwähnte ihren angeblichen Übertritt zum Protestantismus mit keinem Wort. An der Anhörung gab sie zwar an, auf Druck hin vom protestantischen Glauben abgelassen zu haben. In der Schweiz wäre sie allerdings wieder frei gewesen, den protestantischen Glauben wieder aufzunehmen. Der Vorinstanz ist ferner zuzustimmen, dass ihre Schilderungen substanzarm und ungenau ausgefallen sind. Dem hielt sie nichts Stichhaltiges entgegen. Im Gegenteil enthielt auch ihre Bestreitung des Vorwurfs, ihre Aussagen erweckten nicht den Eindruck von selbst Erlebtem, keine persönlichen Schilderungen, sondern stellte wieder auf allgemeine Erfahrungen ab. Selbst wenn man ihren Sachverhaltsvortrag glauben sollte, ist es ihr nicht gelungen, eine konkrete Verfolgungsgefahr von asylbeachtlicher Intensität substanziiert darzulegen. So scheint sich die angebliche Reflexverfolgung mit der Vorladung nach ihrer Kontaktaufnahme mit ihrem Ehemann erledigt zu haben. Gegen die Gefahr von Reflexverfolgung spricht ferner auch der Umstand, dass sie ihre Tochter bei ihrer Mutter zurückgelassen haben will. Die Meinungsäusserung an der (...)versammlung schien keinen profilierten politischen Gehalt gehabt, sondern eher dem Ärger über die Lebensbedingen Luft verschafft zu haben. Ihre freimütige Kritik schien ihr zwar Ärger eingetragen zu haben, aber nicht zu asylbeachtlicher Verfolgung Anlass zu geben. In diese Richtung weist auch ihre Aussage, sie sei gegangen, weil sich nichts ändern werde. Gegen eine konkrete Verfolgungsgefahr spricht auch der Umstand, dass ihre Mutter seit ihrer Ausreise nur einmal nach ihrem Verbleib gefragt worden sei. Nach dem Gesagten hat die Vorinstanz zu Recht das Vorliegen von Vorfluchtgründen verneint und das Asylgesuch abgelehnt.</w:t>
      </w:r>
    </w:p>
    <w:p>
      <w:r>
        <w:rPr>
          <w:b/>
        </w:rPr>
        <w:t>E. 6</w:t>
      </w:r>
    </w:p>
    <w:p>
      <w:r>
        <w:t>Lehnt das Staatssekretariat das Asylgesuch ab oder tritt es darauf nicht ein, so verfügt es in der Regel die Wegweisung aus der Schweiz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Die Rechtsbegehren erweisen sich als aussichtslos. Das Gesuch um unentgeltliche Rechtspflege im Sinne von Art. 65 Abs. 1 VwVG und Art. 110a Abs. 1 Bst. a AsylG ist daher, der ausgewiesenen prozessualen Bedürftigkeit ungeachtet,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