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E-7469/2014 vom 23. März 2015</w:t>
      </w:r>
    </w:p>
    <w:p>
      <w:r>
        <w:t>Bundesverwaltungsgericht, 2015-03-23, FR</w:t>
      </w:r>
    </w:p>
    <w:p>
      <w:r>
        <w:rPr>
          <w:b/>
        </w:rPr>
        <w:t xml:space="preserve">Quelle: </w:t>
      </w:r>
      <w:r>
        <w:t>https://mcp.opencaselaw.ch/entscheid/bvger_E-7469_2014</w:t>
      </w:r>
    </w:p>
    <w:p>
      <w:r>
        <w:t>FR: TAF E-7469/2014 du 23 mars 2015</w:t>
      </w:r>
    </w:p>
    <w:p>
      <w:r>
        <w:t>IT: TAF E-7469/2014 del 23 marzo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été en mesure de faire apparaître la crédibilité et la pertinence de ses motifs.</w:t>
      </w:r>
    </w:p>
    <w:p>
      <w:r>
        <w:rPr>
          <w:b/>
        </w:rPr>
        <w:t>E. 3.2</w:t>
      </w:r>
    </w:p>
    <w:p>
      <w:r>
        <w:t>En effet, le Tribunal n'est pas convaincu que les FARC aient jamais exigé, des familles vivant dans leurs zones d'activité, la remise d'un enfant à des fins d'enrôlement ; une telle pratique n'a jamais été décrite, et n'est aucunement attestée, les FARC ayant certes procédé à des recrutements forcés d'adolescents, mais sans fixer aux proches une telle obligation différée. Cette assertion est d'autant moins crédible que la recourante, au moment où cette exigence aurait été formulée, n'était âgée que de huit ans. Dans tous les cas, il apparaît invraisemblable que la guérilla ait persisté dans une telle intention une fois que la famille avait quitté la région. De même, l'intéressée n'a en rien expliqué comment les FARC, des années plus tard, auraient pu la retrouver à plusieurs reprises, alors que sa famille s'était installée dans la capitale (cf. audition du 13 novembre 2014, question 69) ; quelles que soient ses ressources, il n'est pas vraisemblable que ce mouvement ait été en mesure, en trois occasions, de retrouver l'intéressée avec la rapidité décrite. En outre, il ressort des dires de la recourante que les militants des FARC se seraient limités à des menaces verbales, sans jamais s'en prendre autrement à elle ; durant son séjour à F._______, elle se serait d'ailleurs trouvée à l'abri (cf. audition du 13 novembre 2014, questions 58-59). Dans cette mesure, le caractère sérieux des craintes qu'elle dit avoir éprouvées s'en trouve relativisé et amoindri.</w:t>
      </w:r>
    </w:p>
    <w:p>
      <w:r>
        <w:rPr>
          <w:b/>
        </w:rPr>
        <w:t>E. 3.3</w:t>
      </w:r>
    </w:p>
    <w:p>
      <w:r>
        <w:t>Le Tribunal relève également que les documents produits attestent certes que l'intéressée et sa famille ont dû, en 2000, fuir la région de B._______ en raison des troubles, et qu'ils pouvaient demander aux autorités un soutien en tant que victimes de guerre et personnes déplacées ; cependant, ils n'étayent en rien les motifs d'asile allégués.</w:t>
      </w:r>
    </w:p>
    <w:p>
      <w:r>
        <w:rPr>
          <w:b/>
        </w:rPr>
        <w:t>E. 3.4</w:t>
      </w:r>
    </w:p>
    <w:p>
      <w:r>
        <w:t>De plus, l'intéressée est restée quinze mois en Suisse, après son arrivée, avant de déposer sa demande ; durant cette période, elle a travaillé sans autorisation. Ce comportement ne dénote pas le souci de se mettre, dès que possible, à l'abri d'une persécution encourue dans son pays d'origine, et se trouve donc de nature à jeter le doute sur la réalité des motifs de fuite invoqués. Il n'est en outre guère crédible que la recourante, durant tout ce laps de temps, soit restée, comme elle le prétend, dans l'ignorance de l'existence de la procédure d'asile.</w:t>
      </w:r>
    </w:p>
    <w:p>
      <w:r>
        <w:rPr>
          <w:b/>
        </w:rPr>
        <w:t>E. 3.5</w:t>
      </w:r>
    </w:p>
    <w:p>
      <w:r>
        <w:t>Enfin, il ressort de ses dires que la recourante n'a jamais tenté de réclamer l'aide des autorités, considérant qu'une telle démarche ne la mettrait pas à l'abri, faute d'efficacité. Il s'agit là d'une pure hypothèse : la police colombienne apporte en effet son aide, dans la mesure de ses moyens, aux personnes menacées par les FARC, et ne leur refuse pas sa protection. La conjecture de l'intéressée est d'autant moins crédible que la situation sécuritaire s'est, dans ces dernières années, notablement améliorée dans son pays d'origine (cf. consid. 7.2 ci-dessous).</w:t>
      </w:r>
    </w:p>
    <w:p>
      <w:r>
        <w:rPr>
          <w:b/>
        </w:rPr>
        <w:t>E. 3.6</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retient que l'intéressée, comme analysé ci-dessus, n'a pas établi la haute probabilité d'un risque concret de cette nature, vu le peu de crédibilité des risques invoqués.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A la date du présent arrêt, la situation sécuritaire prévalant en Colombie s'est améliorée. Les négociations entamées entre les FARC et le gouvernement, en novembre 2012, ont permis une baisse du niveau de la violence, même si elle n'a pas disparu. En décembre 2014, pour la première fois, les FARC ont décrété un cessez-le-feu unilatéral ; la récente reprise des négociations, en janvier 2015, après une interruption de quelques semaines, est susceptible de se solder par un accord donnant à cette mesure un caractère permanent (cf. à ce sujet Amnesty International, The human Rights Situation in Colombia, février 2015, publié sous http://www.ecoi.net/file_upload/1930_1425033058_g1502855.pdf, consulté le 10 mars 2015 ; Colombia's Number TwoRebel Group Agrees to Peace Talks, janvier 2015, publié sous http://reliefweb.int /report/colombia/colombias-number-two-rebel-group-agrees-peace-talks, consulté le 10 mars 2015). Dans ce contexte, force est donc de retenir que 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qu'elle est jeune, au bénéfice d'une formation universitaire et d'une expérience professionnelle, et n'a pas allégué de problème de santé particulier. Au surplus, elle dispose d'un réseau familial et social dans son pays, sur lequel elle pourra compter à son retour.</w:t>
      </w:r>
    </w:p>
    <w:p>
      <w:r>
        <w:rPr>
          <w:b/>
        </w:rPr>
        <w:t>E. 7.4</w:t>
      </w:r>
    </w:p>
    <w:p>
      <w:r>
        <w:t>Pour ces motifs, l'exécution du renvoi doit être considérée comme raisonnablement exigible.</w:t>
      </w:r>
    </w:p>
    <w:p>
      <w:r>
        <w:rPr>
          <w:b/>
        </w:rPr>
        <w:t>E. 8</w:t>
      </w:r>
    </w:p>
    <w:p>
      <w:r>
        <w:t>Enfin, la recourante est en possession d'un passeport valable.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w:t>
      </w:r>
    </w:p>
    <w:p>
      <w:r>
        <w:t>L'assistance judiciaire totale a été accordée, en application de l'art. 110a LAsi ; il n'est donc pas perçu de frais. En application de l'art. 14 al. 2 du règlement du 21 février 2008 concernant les frais, dépens et indemnités fixés par le Tribunal administratif fédéral (FITAF, RS 173.320.2), le Tribunal fixe l'indemnité de la mandataire d'office, d'après la note de frais jointe au recours, à la somme de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