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E-745/2024 vom 24. Januar 2024</w:t>
      </w:r>
    </w:p>
    <w:p>
      <w:r>
        <w:t>Bundesverwaltungsgericht, 2024-01-24, DE</w:t>
      </w:r>
    </w:p>
    <w:p>
      <w:r>
        <w:rPr>
          <w:b/>
        </w:rPr>
        <w:t xml:space="preserve">Quelle: </w:t>
      </w:r>
      <w:r>
        <w:t>https://mcp.opencaselaw.ch/entscheid/bvger_E-745_2024_d20240124</w:t>
      </w:r>
    </w:p>
    <w:p>
      <w:r>
        <w:t>FR: TAF E-745/2024 du 24 janvier 2024</w:t>
      </w:r>
    </w:p>
    <w:p>
      <w:r>
        <w:t>IT: TAF E-745/2024 del 24 gennaio 2024</w:t>
      </w:r>
    </w:p>
    <w:p>
      <w:pPr>
        <w:pStyle w:val="Heading2"/>
      </w:pPr>
      <w:r>
        <w:t>Regeste</w:t>
      </w:r>
    </w:p>
    <w:p>
      <w:r>
        <w:t>Asyl und Wegweisung (beschleunigtes Verfahren) | Asyl und Wegweisung (beschleunigtes Verfahren); Verfügung des SEM vom 24.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E-745/2024 Seite 5</w:t>
      </w:r>
    </w:p>
    <w:p>
      <w:r>
        <w:rPr>
          <w:b/>
        </w:rPr>
        <w:t>E. 4.1</w:t>
      </w:r>
    </w:p>
    <w:p>
      <w:r>
        <w:t>Zur Begründung des Asylentscheids führte das SEM das Folgende aus:</w:t>
      </w:r>
    </w:p>
    <w:p>
      <w:r>
        <w:rPr>
          <w:b/>
        </w:rPr>
        <w:t>E. 4.1.1</w:t>
      </w:r>
    </w:p>
    <w:p>
      <w:r>
        <w:t>Der Beschwerdeführer mache Übergriffe durch Dritte geltend und da- mit keine staatliche Verfolgung. Die heimatlichen Strafverfolgungsbehör- den würden solche Ereignisse im Rahmen ihrer Möglichkeiten verfolgen und ahnden, weshalb es Betroffenen zumutbar sei, mit rechtlichen Mitteln gegen solche Übergriffe vorzugehen. Es sei jedoch keinem Staat möglich, jegliche von Dritten ausgehende Bedrohungen zu verhindern. Der Be- schwerdeführer habe seine Möglichkeiten, behördlichen Schutz zu erlan- gen, nicht ausgeschöpft. Der Umstand alleine, dass der Vater seiner ehe- maligen Freundin Mitarbeiter der Sicherheitsbehörde sei, vermöge für sich gesehen noch keine Zweifel am Schutzwillen der Behörden zu begründen. Hierfür spreche auch die erste Reaktion des Beschwerdeführers, Anzeige bei der Polizei zu erstatten. Die Autonome Region Kurdistans (ARK) ver- füge über eine funktionierende Schutzinfrastruktur, insbesondere auch im Falle von drohender Blutrache oder familiärer Probleme. Es gebe auch kei- nen Grund zur Annahme, der Schutzwille sei in Bezug auf den Beschwer- deführer nicht gegeben. Der Zusammenhang zwischen der bestehenden Korruption und der Untätigkeit der Polizeibeamten mit dem fehlenden Schutzwillen der Behörden sei als blosse Annahme des Beschwerdefüh- rers zu betrachten. Es sei mangels anderweitiger Ausführungen durch den Beschwerdeführer nicht davon auszugehen, der Vater seiner ehemaligen Freundin könne aufgrund seiner Position bei den Sicherheitsbehörden das Justizsystem beeinflussen. Ebenfalls als blosse Annahme des Beschwer- deführers sei zu werten, dass eine Involvierung des Stammesführers nicht zielführend gewesen wäre, weil dieser nicht ernst genommen worden wäre. Insgesamt wäre zumindest zu erwarten gewesen, dass er sich um Schutz bemühe.</w:t>
      </w:r>
    </w:p>
    <w:p>
      <w:r>
        <w:rPr>
          <w:b/>
        </w:rPr>
        <w:t>E. 4.1.2</w:t>
      </w:r>
    </w:p>
    <w:p>
      <w:r>
        <w:t>Die Unzulässigkeit des Wegweisungsvollzugs sei nur dann zu beja- hen, wenn die Schutzmassnahmen der Behörden nicht ausreichend wä- ren. Dies sei vorliegend nicht gegeben. Der Vollzug der Wegweisung er- weise sich als zumutbar, nachdem es sich beim Beschwerdeführer um ei- nen jungen gesunden Mann mit guter Ausbildung sowie langjähriger Be- rufserfahrung in verschiedenen Bereichen handle. Es sei ihm finanziell gut gegangen und er verfüge über Wohneigentum in B._____, in welchem er mit seinen Geschwistern gelebt habe. Es wäre ihm zumutbar, sich an ei- nem anderen Ort niederzulassen, würde er sich in der Nähe der verfeinde- ten Familie unsicher fühlen.</w:t>
      </w:r>
    </w:p>
    <w:p>
      <w:r>
        <w:t>E-745/2024 Seite 6</w:t>
      </w:r>
    </w:p>
    <w:p>
      <w:r>
        <w:rPr>
          <w:b/>
        </w:rPr>
        <w:t>E. 4.2.1</w:t>
      </w:r>
    </w:p>
    <w:p>
      <w:r>
        <w:t>Der Beschwerdeführer monierte in seiner Beschwerde in erster Linie, die Vorinstanz sei zu Unrecht von der Schutzfähigkeit und vom Schutz- willen seiner heimatlichen Behörden ausgegangen. Es handle sich bei der Bevölkerung der ARK sei eine Stammesgesellschaft, deren Basis die Loyalität gegenüber dem eigenen Clan sei. Die Familie seiner ehemaligen Freundin gehöre einem grossen einflussreichen Clan an und der Vater sei zudem Angehöriger der internen Sicherheitskräfte. Angesichts dessen habe er sich nachvollziehbarerweise nicht an die heimatlichen Behörden gewandt. Ehrenmorde seien ein wiederkehrendes Problem in seiner Hei- matregion und der Staat sei nicht in der Lage, solche Verbrechen zu ver- hindern. Gemäss Stammesrecht stelle bereits ein einfacher Kontakt mit ei- ner Frau, mit der man nicht verheiratet sei, eine Schande für die ganze Familie und die ganze Sippe der Frau dar, was Blutrache zur Folge habe. Diese könne selbst durch das Vorgehen des Staates gegen diese Verbre- chen nicht abgewendet werden. Sein Verhalten sei ausserdem nicht nur in der Bevölkerung, sondern auch bei den Behörden verpönt, womit er keine Schutzgewährung durch die Sicherheitsbehörden zu erwarten habe; die ohnehin schwache Regionalregierung Kurdistans sei demnach weder schutzfähig noch schutzwillig. Er habe neu in Erfahrung bringen können, dass kürzlich ein Haftbefehl gegen ihn erlassen worden sei, den er schnellstmöglich nachreichen werde.</w:t>
      </w:r>
    </w:p>
    <w:p>
      <w:r>
        <w:rPr>
          <w:b/>
        </w:rPr>
        <w:t>E. 4.2.2</w:t>
      </w:r>
    </w:p>
    <w:p>
      <w:r>
        <w:t>Der Vollzug der Wegweisung in seinen Heimatstaat erweise sich so- dann als unzulässig und unzumutbar. Die Sicherheitslage sei instabil und es bestehe echte Lebensgefahr unter anderem wegen Terroranschlägen radikaler Organisation sowie Bedrohungen seitens dem Iran und der Tür- kei. Es sei ihm daher nicht möglich dort eine wirtschaftliche Existenzgrund- lage zu schaffen. Im Übrigen gehe es nicht an, einen Asylbewerber in eine Konfliktzone zu schicken.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E-745/2024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 dieser Be- stimmung liegt vor, wenn konkreter Anlass zur Annahme besteht, Letztere hätte sich – aus der Sicht im Zeitpunkt der Ausreise – mit beachtlicher Wahrscheinlichkeit und in absehbarer Zeit verwirklicht oder werde sich – auch aus heutiger Sicht – mit ebensolcher Wahrscheinlichkeit in abseh- barer Zukunft verwirklichen. Die Anerkennung der Flüchtlingseigenschaft hängt im Übrigen nicht davon ab, wer Urheber der Verfolgung ist, sondern davon, ob im Heimatstaat adäquater Schutz vor Verfolgung in Anspruch genommen werden kann; damit kann nicht nur die unmittelbare oder mit- telbare staatliche, sondern auch die private (bzw. nicht-staatliche) Ver- folgung flüchtlingsrechtlich relevant sein, sofern im Heimatstaat kein adä- quater Schutz vor Verfolgung besteht (vgl. BVGE 2011/51 E. 7; EMARK 2006 Nr. 18 E. 7.5–7.9. S. 193 ff.).</w:t>
      </w:r>
    </w:p>
    <w:p>
      <w:r>
        <w:rPr>
          <w:b/>
        </w:rPr>
        <w:t>E. 6.2</w:t>
      </w:r>
    </w:p>
    <w:p>
      <w:r>
        <w:t>Die vom Beschwerdeführer geltend gemachte Verfolgung geht nicht von staatlichen Organen, sondern von Dritten aus. Daher ist insbesondere näher zu beleuchten, ob er in seinem Heimatstaat Schutz vor Verfolgung finden kann. Ein absoluter Schutz vor Verfolgung, welche von Privatperso- nen ausgeht, ist in asylrechtlicher Hinsicht nicht erforderlich; entscheidend ist vielmehr, dass die Betroffenen faktisch Zugang zu einer vorhandenen effektiven Schutzinfrastruktur haben und ihnen zugemutet werden darf, diese in Anspruch zu nehmen.</w:t>
      </w:r>
    </w:p>
    <w:p>
      <w:r>
        <w:rPr>
          <w:b/>
        </w:rPr>
        <w:t>E. 6.3</w:t>
      </w:r>
    </w:p>
    <w:p>
      <w:r>
        <w:t>Im Urteil BVGE 2008/4 wurde ausführlich dargelegt, dass die Sicher- heitsbehörden der ARK, bestehend aus den Provinzen Dohuk, Erbil, Sulei- maniya sowie der von Letzterer abgespaltenen Provinz Halabja, grund- sätzlich in der Lage und willens sind, ihren Einwohnern Schutz vor</w:t>
      </w:r>
    </w:p>
    <w:p>
      <w:r>
        <w:t>E-745/2024 Seite 8 Verfolgung zu gewähren. Diese Einschätzung wurde mit Urteil des Bun- desverwaltungsgerichts E-3737/2015 vom 14. Dezember 2015 (als Refe- renzurteil publiziert) bestätigt und hat weiterhin Gültigkeit (vgl. etwa auch die Urteile BVGer E-962/2020 vom 8. Dezember 2022 E. 6.1 f. oder D- 1927/2019 vom 23. Mai 2019 E. 6.2). Gehen die Übergriffe jedoch von den Mehrheitsparteien, ihren Organen oder Mitgliedern aus, kann – aufgrund der engen Verflechtung von Partei- und Behördenstrukturen – nicht mit ei- ner staatlichen Schutzgewährung durch die Polizei- und Sicherheitskräfte gerechnet werden. Bei einer drohenden Verfolgung von privater Seite gilt es insbesondere zu beachten, dass im Allgemeinen gerade bei Ehrenmor- den in erste Linie Frauen betroffen sind und in diesen Fällen infolge man- gelnder Sensibilität und ungenügender Schutzinfrastruktur nicht von der Bereitschaft der Polizeibeamten auszugehen ist, entsprechende Straftaten zu verhindern oder diesen umfassend nachzugehen (vgl. BVGE 2008/4 E. 6.7, Urteil BVGer E-1780/2020 vom 1. Oktober 2021 E. 6.4 m.w.H.).</w:t>
      </w:r>
    </w:p>
    <w:p>
      <w:r>
        <w:rPr>
          <w:b/>
        </w:rPr>
        <w:t>E. 6.4</w:t>
      </w:r>
    </w:p>
    <w:p>
      <w:r>
        <w:t>Es ist mit dem SEM festzustellen, dass die vorliegend geltend ge- machte Verfolgung durch den Vater der ehemaligen Freundin des Be- schwerdeführers aus persönlichen Motiven erfolgte und somit keine Verfol- gung aus einem der in Art. 3 Abs. 1 AsylG genannten Gründe wie Rasse, Religion, Nationalität, Zugehörigkeit zu einer bestimmten sozialen Gruppe oder der politischen Anschauung darstellt.</w:t>
      </w:r>
    </w:p>
    <w:p>
      <w:r>
        <w:rPr>
          <w:b/>
        </w:rPr>
        <w:t>E. 6.5</w:t>
      </w:r>
    </w:p>
    <w:p>
      <w:r>
        <w:t>Es besteht auch kein Grund zur Annahme, die nordirakischen Behör- den seien nicht in der Lage oder nicht willens, den Beschwerdeführer vor privater Verfolgung zu schützen. Der Beschwerdeführer bemühte sich sei- nen Aussagen zufolge weder bei den heimatlichen Behörden um Schutz- gewährung noch bei den Stammesführern um Streitschlichtung. Die dies- bezüglichen allgemeinen Hinweise des Beschwerdeführers auf den Um- gang mit Ehrverbrechen in der ARK vermögen nicht zu überzeugen. Viel- mehr handelt es sich um blosse Vermutungen seinerseits, dass die Stam- mesführer nichts ausrichten könnten und die Behörden nicht gewillt seien, ihm Schutz zu gewähren. Dem Beschwerdeführer gelingt es folglich nicht darzulegen, dass die heimatlichen Behörden nicht schutzfähig oder schutz- willig sind oder ihm die Schutzsuche nicht zuzumuten gewesen wäre.</w:t>
      </w:r>
    </w:p>
    <w:p>
      <w:r>
        <w:rPr>
          <w:b/>
        </w:rPr>
        <w:t>E. 6.6</w:t>
      </w:r>
    </w:p>
    <w:p>
      <w:r>
        <w:t>Im Übrigen bestehen ohnehin triftige Zweifel an der Glaubhaftigkeit des Vorbringens des Beschwerdeführers, der Vater seiner ehemaligen Freun- din habe auf offener Strasse beim ersten Anblick sofort auf einen männli- chen Begleiter seiner Tochter geschossen, ohne sich zuvor über diesen oder die Art des Treffens zu informieren (vgl. Kurdistan Region of Iraq [KRI]: Women and men in honour-related conflicts, November 2018, S. 23</w:t>
      </w:r>
    </w:p>
    <w:p>
      <w:r>
        <w:t>E-745/2024 Seite 9 &lt; https://www.refworld.org/reference/countryrep/dis/2018/en/122349 &gt;, ab- gerufen am 7. Februar 2023). Dies gerade auch deshalb, weil es sich bei diesem Mann um einen Angestellten der Sicherheitsbehörden handeln soll.</w:t>
      </w:r>
    </w:p>
    <w:p>
      <w:r>
        <w:rPr>
          <w:b/>
        </w:rPr>
        <w:t>E. 6.7</w:t>
      </w:r>
    </w:p>
    <w:p>
      <w:r>
        <w:t>An dieser Einschätzung vermag der Hinweis des Beschwerdeführers in seinem Rechtsmittel, es sei zwischenzeitlich gegen ihn ein Haftbefehl erlassen worden, nichts zu ändern. Es wird weder dargetan, aus welchen Gründen ein Haftbefehl gegen ihn erlassen worden sei, noch scheint vor- stellbar, ihm drohe wegen des blossen Kontakts zu dieser Frau strafrecht- liche Verfolgung. Es kann daher in antizipierter Beweiswürdigung auf In- struktionsmassnahmen oder eine Rückweisung der Sache zur Neubeurtei- lung verzichtet werden.</w:t>
      </w:r>
    </w:p>
    <w:p>
      <w:r>
        <w:rPr>
          <w:b/>
        </w:rPr>
        <w:t>E. 6.8</w:t>
      </w:r>
    </w:p>
    <w:p>
      <w:r>
        <w:t>Zusammenfassend kommt der durch den Beschwerdeführer vorge- brachten von Dritten ausgehenden Verfolgung keine flüchtlingsrechtliche Relevanz zu. Es ist aufgrund der konkreten Umstände vom Schutzwillen und der grundsätzlichen Schutzfähigkeit der nordirakischen Behörden aus- zugehen. Die Inanspruchnahme dieses Schutzes war und ist dem Be- schwerdeführer zumutbar.</w:t>
      </w:r>
    </w:p>
    <w:p>
      <w:r>
        <w:rPr>
          <w:b/>
        </w:rPr>
        <w:t>E. 6.9</w:t>
      </w:r>
    </w:p>
    <w:p>
      <w:r>
        <w:t>Im Ergebnis bedarf der Beschwerdeführer nicht des internationalen Schutzes (vgl. BVGE 2011/51 E. 7), weshalb seine Vorbringen als nicht re- levant im Sinn von Art. 3 AsylG zu qualifizieren sind.</w:t>
      </w:r>
    </w:p>
    <w:p>
      <w:r>
        <w:rPr>
          <w:b/>
        </w:rPr>
        <w:t>E. 6.10</w:t>
      </w:r>
    </w:p>
    <w:p>
      <w:r>
        <w:t>Es ist dem Beschwerdeführer demnach nicht gelungen, eine Verfol- gungsgefahr im Sinn von Art. 3 AsylG nachzuweisen oder glaubhaft darzu- tun. Die Vorinstanz hat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E-745/2024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w:t>
      </w:r>
    </w:p>
    <w:p>
      <w:r>
        <w:t>E-745/2024 Seite 11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bereits ausgeführt (vgl. E. 6), ist vorliegend an- zunehmen, dass die staatlichen Behörden willens und fähig sind, den Be- schwerdeführer vor einem allfällig drohenden "Ehrenmord" zu schützen. Auch die allgemeine Menschenrechtssituation im Nordirak lässt den Weg- weisungsvollzug zum heutigen Zeitpunkt nicht als unzulässig erscheinen.</w:t>
      </w:r>
    </w:p>
    <w:p>
      <w:r>
        <w:rPr>
          <w:b/>
        </w:rPr>
        <w:t>E. 8.2.5</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langjährige Praxis zur Frage der Zumutbarkeit des Vollzugs von Wegweisungen in die kurdi- schen Provinzen im Nordirak (vgl. BVGE 2008/5). Es hielt dabei fest, dass in den vier Provinzen der ARK (Dohuk, Erbil, Suleimaniya und Halabja) nicht von einer Situation allgemeiner Gewalt im Sinn von Art. 83 Abs. 4 AIG auszugehen ist. Diese Einschätzung hat nach wie vor Gültigkeit. Den be- günstigenden individuellen Faktoren (insbesondere denjenigen eines trag- fähigen familiären Beziehungsnetzes) ist aber – wie in der angefochtenen Verfügung ebenfalls zutreffend bemerkt wurde – angesichts der Belastung der behördlichen Infrastrukturen durch im Irak intern Vertriebene weiterhin ein besonderes Gewicht beizumessen (vgl. in letzter Zeit etwa die Urteile BVGer D-374/2022 vom 14. Februar 2023 E. 8.4.1, D-3678/2021 vom 30. Januar 2023 E. 8.4.1 oder E-962/2020 vom 8. Dezember 2022 E. 10.4.1, je m.w.H.).</w:t>
      </w:r>
    </w:p>
    <w:p>
      <w:r>
        <w:t>E-745/2024 Seite 12</w:t>
      </w:r>
    </w:p>
    <w:p>
      <w:r>
        <w:rPr>
          <w:b/>
        </w:rPr>
        <w:t>E. 8.3.3</w:t>
      </w:r>
    </w:p>
    <w:p>
      <w:r>
        <w:t>Die Vorinstanz hat zu Recht festgestellt, dass in Bezug auf den Be- schwerdeführer begünstigende individuelle Faktoren vorliegen, die für die Zumutbarkeit des Wegweisungsvollzugs sprechen. Seinen Angaben zu- folge wurde er in B._____ geboren und verbrachte sein gesamtes Leben dort mit seiner Kernfamilie; einige weitere Verwandte leben ebenfalls in B._____. Er verfügt sodann über Wohneigentum in B._____ sowie einen Hochschulabschluss, und er arbeitete jahrelang in verschiedenen Berei- chen, wodurch er sich in einer guten finanziellen Situation befunden habe (vgl. SEM-Akten A15 ad F17 f., F43 ff. und F54). Nachdem er keine gravie- renden Gesundheitsprobleme geltend gemacht hat, dürfte er ohne Weite- res in der Lage sein, sich in seinem Heimatstaat wirtschaftlich zu reinteg- rieren.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Aus den vorstehenden Erwägungen ergibt sich, dass die Beschwerdebe- gehren aussichtlos waren. Das Gesuch um Gewährung der unentgeltlichen Prozessführung im Sinn von Art. 65 Abs. 1 VwVG ist daher ungeachtet der Bedürftigkeit des Beschwerdeführers abzuweisen. Bei diesem Ausgang des Verfahrens sind die Kosten dem Beschwerdeführer aufzuerlegen (Art. 63 Abs. 1 VwVG) und auf insgesamt Fr. 750.– festzusetzen (Art. 1-3 des Reglements vom 21. Februar 2008 über die Kosten und Entschädigun- gen vor dem Bundesverwaltungsgericht [VGKE, SR 173.320.2]). Mit dem</w:t>
      </w:r>
    </w:p>
    <w:p>
      <w:r>
        <w:t>E-745/2024 Seite 13 Entscheid in der Hauptsache ist das Gesuch um Erlass des Kostenvor- schusses (Art. 63 Abs. 4 VwVG) gegenstandslos geworden.</w:t>
      </w:r>
    </w:p>
    <w:p>
      <w:r>
        <w:t>E-745/2024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