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E-745/2017 vom 13. Februar 2017</w:t>
      </w:r>
    </w:p>
    <w:p>
      <w:r>
        <w:t>Bundesverwaltungsgericht, 2017-02-13, DE</w:t>
      </w:r>
    </w:p>
    <w:p>
      <w:r>
        <w:rPr>
          <w:b/>
        </w:rPr>
        <w:t xml:space="preserve">Quelle: </w:t>
      </w:r>
      <w:r>
        <w:t>https://mcp.opencaselaw.ch/entscheid/bvger_E-745_2017</w:t>
      </w:r>
    </w:p>
    <w:p>
      <w:r>
        <w:t>FR: TAF E-745/2017 du 13 février 2017</w:t>
      </w:r>
    </w:p>
    <w:p>
      <w:r>
        <w:t>IT: TAF E-745/2017 del 13 febbraio 2017</w:t>
      </w:r>
    </w:p>
    <w:p>
      <w:pPr>
        <w:pStyle w:val="Heading2"/>
      </w:pPr>
      <w:r>
        <w:t>Regeste</w:t>
      </w:r>
    </w:p>
    <w:p>
      <w:r>
        <w:t>Flughafenverfahren (Asyl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(Art. 108 Abs. 2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beziehungsweise einer zweiten Richterin (Art. 111 Bst. e AsylG) und mit summarischer Urteilsbegründung zu behandeln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5.1</w:t>
      </w:r>
    </w:p>
    <w:p>
      <w:r>
        <w:t>Die Vorinstanz kommt in der angefochtenen Verfügung zum Schluss, die Vorbringen des Beschwerdeführers hielten weder den Anforderungen an das Glaubhaftmachen gemäss Art. 7 AsylG noch denjenigen von Art. 3 AsylG stand. Die Vorbringen des Beschwerdeführers seien unsubstantiiert, wenig konkret und detailliert, oberflächlich und insgesamt nicht glaubhaft. Namentlich vermöchten seine Aussagen über das Verfahren gegen den Vater nicht zu überzeugen. Detaillierte Angaben dazu fehlten gänzlich und er habe insbesondere nicht erklären können, weshalb das Verfahren nach 20 Jahren noch hängig sein sollte und was die unbekannten Männer jeweils genau vom Vater und Bruder gewollt hätten. Der Grund für diese langjährige Verfolgung sei jedenfalls nicht ersichtlich. Die Aussagen über seinen Bruder seien ebenfalls oberflächlich und ohne detaillierte Informationen gewesen. Was den Beschwerdeführer persönlich betreffe, habe er nicht überzeugend erklären können, weshalb der Vater nie zu Hause gewesen sei, als er von unbekannten Männern gesucht worden sei. Es sei unvorstellbar, dass die unbekannten Männer über Jahre hinweg erfolglos bei ihm zu Hause aufgetaucht seien, ohne weitere Massnahmen zu ergreifen, um den Vater ausfindig zu machen. Auch zu seiner eigenen Mitnahme und Haft habe der Beschwerdeführer nur oberflächliche Angaben gemacht und lediglich seine Antworten mehrmals wiederholt. Er habe weder angeben können, weshalb er mitgenommen, noch weswegen er nach drei Tagen wieder entlassen worden sei. Dazu habe er einzig vorgebracht, die Täter hätten die ganze Familie auslöschen wollen. In diesem Zusammenhang habe er nicht überzeugend erklären können, wie sein Vater trotz der jahrelangen Verfolgung seine Geschäfte erfolgreich habe führen können. Die Antwort, er habe keine Aufträge in Jaffna angenommen, vermöge die Ungereimtheiten nicht aufzulösen. Ferner seien auch seine Angaben zu seinem Engagement für die TNA weitgehend vage gewesen. Er sei nicht Mitglied gewesen, habe aber Plakate verteilt und befestigt. Was die Teilnahme an der Demonstration im September 2016 betreffe - weswegen er angeblich gesucht worden sei - habe er den genauen Grund für die Demonstration nicht angeben können. Weshalb er im Anschluss gesucht worden sei, habe er nicht zu erklären vermocht. Es sei möglich, dass seine Cousine väterlicherseits für die LTTE gekämpft habe. Indes habe er keinen Zusammenhang zwischen seinen Schwierigkeiten und dem Engagement der Cousine herstellen können. Schliesslich vermöchten auch die eingereichten Beweismittel nichts an den nicht glaubhaften Asylgründen zu ändern.</w:t>
      </w:r>
    </w:p>
    <w:p>
      <w:r>
        <w:rPr>
          <w:b/>
        </w:rPr>
        <w:t>E. 5.2</w:t>
      </w:r>
    </w:p>
    <w:p>
      <w:r>
        <w:t>In der Rechtsmitteleingabe rügt der Beschwerdeführer sinngemäss, die Vorinstanz habe den Massstab des Glaubhaftmachens nicht richtig angewendet, mithin Bundesrecht verletzt. Die Beweiswürdigung der Vorinstanz ist nicht zu beanstanden. In der angefochtenen Verfügung wird aufgezeigt, inwiefern die Vorbringen des Beschwerdeführers unsubstantiiert, wenig konkret und detailliert, oberflächlich und insgesamt nicht glaubhaft sind. Was in der Beschwerdeschrift dagegen vorgebracht wird, ist nicht geeignet, die vorinstanzlichen Erwägungen in einem anderen Lichte erscheinen zu lassen. Soweit der Beschwerdeführer in der Rechtsmitteleingabe geltend macht, er sei nach der Teilnahme an der Demonstration am 24. September 2016 intensiv gesucht, verhört, gefoltert und bedroht worden, bringt er dies erstmals vor und widerspricht sich damit auch sogleich mit seinen weiteren Ausführungen, wonach er nicht zu Hause gewesen sei, als er gesucht worden sei. Das diesbezügliche Vorbringen ist somit als nachgeschoben und damit nicht glaubhaft zu beurteilen. Weitergehend vermag der Beschwerdeführer mit der Wiederholung des aktenkundigen Sachverhalts und dem Festhalten an dessen Tatsächlichkeit nicht substantiiert darzulegen, inwiefern die Vorinstanz den Massstab des Glaubhaftmachens nicht korrekt angewendet hat. Solches ist auch nicht ersichtlich. Um Wiederholungen zu vermeiden, kann auf die zutreffenden Erwägungen in der angefochtenen Verfügung verwiesen werden.</w:t>
      </w:r>
    </w:p>
    <w:p>
      <w:r>
        <w:rPr>
          <w:b/>
        </w:rPr>
        <w:t>E. 5.3</w:t>
      </w:r>
    </w:p>
    <w:p>
      <w:r>
        <w:t>Insgesamt hat der Beschwerdeführer somit nichts vorgebracht, das geeignet wäre, die Flüchtlingseigenschaft nachzuweisen oder glaubhaft zu machen. An diesem Schluss vermögen auch die bereits bei der Vorinstanz eingereichten Beweismittel nichts zu ändern. Die Vorinstanz hat das Asylgesuch zu Recht abgelehnt.</w:t>
      </w:r>
    </w:p>
    <w:p>
      <w:r>
        <w:rPr>
          <w:b/>
        </w:rPr>
        <w:t>E. 6</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der Wegweisung ist nach Art. 83 Abs. 3 AuG unzulässig, wenn völkerrechtliche Verpflichtungen der Schweiz einer Weiterreise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7.3</w:t>
      </w:r>
    </w:p>
    <w:p>
      <w:r>
        <w:t>Die allgemeine Menschenrechtssituation in Sri Lanka lässt den Wegweisungsvollzug nicht als unzulässig erscheinen (vgl. Referenzurteil des BVGer E-1866/2015 vom 15. Juli 2016, E. 12.2 ff;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(Urteil des EGMR R.J. gegen Frankreich vom 19. September 2013, 10466/11, Ziff. 37). Der Beschwerdeführer vermochte nicht glaubhaft zu machen, dass er befürchten muss, bei einer Rückkehr die Aufmerksamkeit der sri-lankischen Behörden in einem flüchtlingsrechtlich relevanten Ausmass auf sich zu ziehen und aus den Akten ergeben sich keine konkreten Anhaltspunkte dafür, dass er für den Fall einer Ausschaffung nach Sri Lanka dort mit beachtlicher Wahrscheinlichkeit einer nach Art. 3 EMRK oder FoK verbotenen Strafe oder Behandlung ausgesetzt wäre. Der Vollzug der Wegweisung ist demnach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In Sri Lanka herrscht weder Krieg noch eine Situation allgemeiner Gewalt. Der bewaffnete Konflikt zwischen der sri-lankischen Regierung und den LTTE ist im Mai 2009 zu Ende gegangen. Mit Referenzurteil E-1866/2015 vom 15. Juli 2016 hat das Bundesverwaltungsgericht seine bisherige Rechtsprechung (vgl. BVGE 2011/24) und die gegenwärtige Praxis des SEM bestätigt, wonach der Wegweisungsvollzug unter anderem in die Nordprovinz zumutbar ist. Der Beschwerdeführer stammt aus B._______, Distrikt Jaffna (Nordprovinz), wo er bis September 2016 im Haus der Eltern lebte. Gemäss eigenen Angaben leben neben den Eltern und Geschwister auch Tanten und Onkel mit deren Familien nach wie vor in Sri Lanka. Bei einer Rückkehr nach Sri Lanka kann er demnach auf ein bestehendes familiäres und soziales Beziehungsnetz zurückgreifen. Ferner ist er jung und gut ausgebildet (College A-Level Abschluss, begonnene [...], Arbeitserfahrung als [...]). Soweit er in der Rechtsmitteleingabe ausführt, er sei körperlich nicht mehr fit, substantiiert er dieses auf Beschwerdeebene erstmals geltend gemachte Vorbringen nicht ansatzweise. Darüber hinaus sind diesbezüglich den Akten auch keine Hinweise zu entnehmen. Es ist dem Beschwerdeführer deshalb zuzumuten, sich bei einer Rückkehr eine neue wirtschaftliche Existenz aufzubauen. Der Vollzug der Wegweisung ist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Der Beschwerdeführer beantragt die Gewährung der unentgeltlichen Rechtspflege gemäss Art. 65 Abs. 1 VwVG. Aus den vorstehenden Erwägungen ergibt sich, dass seine Begehren als aussichtslos zu gelten haben. Damit liegt eine der kumulativ zu erfüllenden Voraussetzungen nicht vor, weshalb dem Gesuch nicht stattzugeben ist.</w:t>
      </w:r>
    </w:p>
    <w:p>
      <w:r>
        <w:rPr>
          <w:b/>
        </w:rPr>
        <w:t>E. 9.2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Antrag auf Verzicht auf Erhebung eines Kostenvorschusses ist mit vorliegendem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