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E-7458/2007 vom 13. November 2007</w:t>
      </w:r>
    </w:p>
    <w:p>
      <w:r>
        <w:t>Bundesverwaltungsgericht, 2007-11-13, FR</w:t>
      </w:r>
    </w:p>
    <w:p>
      <w:r>
        <w:rPr>
          <w:b/>
        </w:rPr>
        <w:t xml:space="preserve">Quelle: </w:t>
      </w:r>
      <w:r>
        <w:t>https://mcp.opencaselaw.ch/entscheid/bvger_E-7458_2007</w:t>
      </w:r>
    </w:p>
    <w:p>
      <w:r>
        <w:t>FR: TAF E-7458/2007 du 13 novembre 2007</w:t>
      </w:r>
    </w:p>
    <w:p>
      <w:r>
        <w:t>IT: TAF E-7458/2007 del 13 novembre 2007</w:t>
      </w:r>
    </w:p>
    <w:p>
      <w:pPr>
        <w:pStyle w:val="Heading2"/>
      </w:pPr>
      <w:r>
        <w:t>Regeste</w:t>
      </w:r>
    </w:p>
    <w:p>
      <w:r>
        <w:t>Asile (non-entrée en matière) et renvoi</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de la loi fédérale sur l'asile (LAsi, RS 142.31).</w:t>
      </w:r>
    </w:p>
    <w:p>
      <w:r>
        <w:rPr>
          <w:b/>
        </w:rPr>
        <w:t>E. 1.2</w:t>
      </w:r>
    </w:p>
    <w:p>
      <w:r>
        <w:t>Le recourant a qualité pour recourir (cf. art. 48 al. 1 PA). Présenté dans la forme (cf. art. 52 PA) et le délai (cf. art. 108a LAsi) prescrits par la loi, le recours est recevable.</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On entend, par document de voyage, tout document officiel autorisant l'entrée dans l'État d'origine ou dans d'autres États, tel qu'un passeport ou un document de voyage de remplacement (art. 1 let. b de l'ordonnance 1 du 11 août 1999 sur l'asile relative à la procédure [OA 1, RS 142.311]), et par pièce d'identité ou papier d'identité, tout document officiel comportant une photographie et établissant l'identité du détenteur (art. 1 let. c OA 1). Conformément à une jurisprudence récente, les documents en cause doivent, d'une part, prouver l'identité, y compris la nationalité, de sorte qu'il ne subsiste aucun doute et d'une manière qui garantisse l'absence de falsification, et, d'autre part, permettre le retour de leur titulaire dans son pays d'origine sans démarches administratives particulières (cf. ATAF 2007/7).</w:t>
      </w:r>
    </w:p>
    <w:p>
      <w:r>
        <w:rPr>
          <w:b/>
        </w:rPr>
        <w:t>E. 3.1</w:t>
      </w:r>
    </w:p>
    <w:p>
      <w:r>
        <w:t>En l'espèce, le recourant n'a pas remis aux autorités ses documents de voyage ou ses pièces d'identité, au sens défini ci-dessus, et, autant qu'on le sache, n'a rien entrepris dans les 48 heures dès le dépôt de sa demande d'asile pour s'en procurer. En effet, il n'a produit qu'une photocopie couleur d'une carte d'identité consulaire, établie le (...), par l'Ambassade du Cameroun en Côte d'Ivoire. La remise d'une photocopie ne satisfait cependant pas aux exigences de l'art. 32 al. 2 let. a LAsi précitées. Il n'a pas non plus présenté de motif excusable susceptible de justifier la non-production de tels documents, au sens de l'art. 32 al. 3 let. a LAsi. En effet, le recourant s'est contredit sur les circonstances de la perte de sa carte d'identité consulaire, affirmant tantôt l'avoir perdue au stade de F._______, le 4 septembre 2005 (cf. p.-v. de l'audition du 21.09.2006, p. 3), tantôt l'avoir perdue peu avant son départ de Côte d'Ivoire (cf. mémoire de recours p. 2 in fine s.). Au surplus, il est douteux que le recourant ait rejoint la Suisse avec une photocopie de sa carte d'identité consulaire sur laquelle figurait une identité différente de celle figurant sur ses documents de voyage. Eu égard aux contrôles aéroportuaires particulièrement méticuleux, il est enfin peu crédible que le recourant ait ignoré l'identité figurant sur lesdits documents de voyage, quand bien même il prétend que ceux-ci seraient restés en mains du passeur.</w:t>
      </w:r>
    </w:p>
    <w:p>
      <w:r>
        <w:rPr>
          <w:b/>
        </w:rPr>
        <w:t>E. 3.2</w:t>
      </w:r>
    </w:p>
    <w:p>
      <w:r>
        <w:t>C'est en outre à juste titre que l'autorité de première instance a admis que la qualité de réfugié n'avait pas été établie au terme de l'audition et, compte tenu de l'invraisemblance manifeste du récit, qu'aucune autre mesure d'instruction n'était nécessaire (cf. art. 32 al. 3 let. b et let. c LAsi). En effet, déjà sur la base d'un examen sommaire, il est possible de constater que le recourant n'a manifestement pas rendu vraisemblable sa qualité de réfugié (cf. ATAF 2007/8 consid. 5.6.4 et 5.6.5). Dans leur ensemble, les déclarations du recourant sont stéréotypées, imprécises et insuffisamment détaillées. Celles concernant l'enquête demandée par sa mère, l'organisation et le déroulement de la manifestation du 5 février 2005 et les raisons pour lesquelles les autorités camerounaises s'intéresseraient à sa personne manquent particulièrement de consistance. De plus, il n'est manifestement pas convaincant que les autorités camerounaises aient poursuivi le recourant jusqu'en Côte d'Ivoire, ce dernier n'ayant pas la dimension d'une personnalité susceptible d'être l'objet de recherches d'une telle importance puisqu'hormis la manifestation du 5 février 2005 précitée, il a admis n'avoir jamais eu d'activité politique ou subversive tant au Cameroun qu'en Côte d'Ivoire. Ainsi, le simple fait d'être un sympathisant d'un parti d'opposition, comme tout au plus il se qualifie dans son mémoire, ne saurait en soi l'exposer à des persécutions. Pour le reste, les déclarations du recourant à propos des conditions de son départ de Côte d'Ivoire et de son voyage frappent, elles aussi, par leur caractère stéréotypé (cf. consid. 3.1 ci-dessus), ce qui, ajouté au reste, autorise à penser qu'il cache les réelles circonstances de sa venue en Suisse. Pour le surplus, renvoi est fait à la décision de l'autorité inférieure.</w:t>
      </w:r>
    </w:p>
    <w:p>
      <w:r>
        <w:rPr>
          <w:b/>
        </w:rPr>
        <w:t>E. 3.3</w:t>
      </w:r>
    </w:p>
    <w:p>
      <w:r>
        <w:t>La décision de non-entrée en matière sur la demande d'asile du recourant, prononcée par l'ODM, est dès lors confirmée.</w:t>
      </w:r>
    </w:p>
    <w:p>
      <w:r>
        <w:rPr>
          <w:b/>
        </w:rPr>
        <w:t>E. 4.1</w:t>
      </w:r>
    </w:p>
    <w:p>
      <w:r>
        <w:t>Aucune exception à la règle générale du renvoi n'étant en l'occurrence réalisée (cf. art. 32 OA 1), le Tribunal est tenu, de par la loi, de confirmer cette mesure.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Jurisprudence et informations de la Commission suisse de recours en matière d'asile [JICRA] 1996 no 18 consid. 14b let. ee p. 186 s. et références citées). L'exécution du renvoi est donc licite au sens de l'art. 14a al. 3 de la loi fédérale du 26 mars 1931 sur le séjour et l'établissement des étrangers (LSEE, RS 142.20).</w:t>
      </w:r>
    </w:p>
    <w:p>
      <w:r>
        <w:rPr>
          <w:b/>
        </w:rPr>
        <w:t>E. 4.3</w:t>
      </w:r>
    </w:p>
    <w:p>
      <w:r>
        <w:t>Elle est également raisonnablement exigible (cf. art. 14a al. 4 LSEE) non seulement vu l'absence de violences généralisées au Cameroun, mais également eu égard à la situation personnelle du recourant. En effet, il est (...). Bien que cela ne soit pas décisif, il dispose en outre d'un réseau familial et social sur lequel il pourra compter à son retour.</w:t>
      </w:r>
    </w:p>
    <w:p>
      <w:r>
        <w:rPr>
          <w:b/>
        </w:rPr>
        <w:t>E. 4.4</w:t>
      </w:r>
    </w:p>
    <w:p>
      <w:r>
        <w:t>L'exécution du renvoi est enfin possible (cf. art. 14a al. 2 LSEE) et l'intéressé tenu de collaborer à l'obtention de documents de voyage lui permettant de quitter la Suisse (cf. art. 8 al. 4 LAsi).</w:t>
      </w:r>
    </w:p>
    <w:p>
      <w:r>
        <w:rPr>
          <w:b/>
        </w:rPr>
        <w:t>E. 4.5</w:t>
      </w:r>
    </w:p>
    <w:p>
      <w:r>
        <w:t>C'est donc également à bon droit que l'autorité de première instance a prononcé le renvoi du recourant et l'exécution de cette mesure.</w:t>
      </w:r>
    </w:p>
    <w:p>
      <w:r>
        <w:rPr>
          <w:b/>
        </w:rPr>
        <w:t>E. 5.1</w:t>
      </w:r>
    </w:p>
    <w:p>
      <w:r>
        <w:t>En conclusion, le recours, manifestement infondé, doit être rejeté selon la procédure simplifiée de l'art. 111 al. 1 LAsi sans qu'il soit nécessaire d'ordonner un échange d'écritures. La présente décision n'est que sommairement motivée (cf. art. 111 al. 3 LAsi).</w:t>
      </w:r>
    </w:p>
    <w:p>
      <w:r>
        <w:rPr>
          <w:b/>
        </w:rPr>
        <w:t>E. 5.2</w:t>
      </w:r>
    </w:p>
    <w:p>
      <w:r>
        <w:t>La demande d'assistance judiciaire partielle est rejetée, les conclusions du recours étant d'emblée vouées à l'échec (cf. art. 65 al. 1 PA).</w:t>
      </w:r>
    </w:p>
    <w:p>
      <w:r>
        <w:rPr>
          <w:b/>
        </w:rPr>
        <w:t>E. 5.3</w:t>
      </w:r>
    </w:p>
    <w:p>
      <w:r>
        <w:t>Vu l'issue de la procédure, il y a lieu de mettre les frais à la charge du recourant (cf. art. 63 al. 1 PA et art. 2 et 3 let. b du règlement du 11 décembre 2006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