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E-7453/2009 vom 28. Oktober 2013</w:t>
      </w:r>
    </w:p>
    <w:p>
      <w:r>
        <w:t>Bundesverwaltungsgericht, 2013-10-28, DE</w:t>
      </w:r>
    </w:p>
    <w:p>
      <w:r>
        <w:rPr>
          <w:b/>
        </w:rPr>
        <w:t xml:space="preserve">Quelle: </w:t>
      </w:r>
      <w:r>
        <w:t>https://mcp.opencaselaw.ch/entscheid/bvger_E-7453_2009</w:t>
      </w:r>
    </w:p>
    <w:p>
      <w:r>
        <w:t>FR: TAF E-7453/2009 du 28 octobre 2013</w:t>
      </w:r>
    </w:p>
    <w:p>
      <w:r>
        <w:t>IT: TAF E-7453/2009 del 28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4.1</w:t>
      </w:r>
    </w:p>
    <w:p>
      <w:r>
        <w:t>In der angefochtenen Verfügung begründet das BFM die Anwendbarkeit der Asylausschlussklausel von Art. 53 AsylG mit einer dem Beschwerdeführer zuzuschreibenden Verwerflichkeit dergestalt, dass dieser der zur Verfolgung ihrer Ziele mit Waffengewalt und terroristisch agierenden PKK angehört habe, die auch in der Schweiz Anschläge gegen türkische Einrichtungen verübt habe. Darüber hinaus habe er den für die Asylunwürdigkeit praxisgemäss erforderlichen individuellen Tatbeitrag geleistet, indem er der PKK freiwillig beigetreten sei und seine angebliche Nichtbeteiligung an Kampfhandlungen nicht glaubhaft erscheine, zumal er der Organisation zu einem Zeitpunkt beigetreten sei, als der Kampf in vollem Gange gewesen sei. Aber auch mit seinen dargelegten logistischen Unterstützungsleistungen habe er dem Organisationszweck unmittelbar gedient, da er mit der Versorgung der PKK-Kämpfer mit Lebensmitteln diesen den Aufenthalt in der Kampfzone ermöglicht habe und ihm angesichts der absolvierten militärischen Ausbildung und seines Einsatzes in der Kampfzone bewusst gewesen sei, dass sein Handeln der Gewaltanwendung diene. Die spätere propagandistische Tätigkeit und Mitgliederanwerbung zeugten gleichsam von seinem Einverständnis mit dem Organisationszweck und der Gewaltanwendung der PKK. Im Weiteren erscheine der Asylausschluss in seinem Fall auch verhältnismässig, da er sich der PKK freiwillig und ohne Not angeschlossen habe und seine Trennung von der Organisation noch keine eigentliche Distanzierung von deren Zielen beinhalten müsse; dies umso mehr, als er sich erst im Jahre 2006, mithin zwei Jahre nach Aufhebung des Waffenstillstandes, von der PKK losgelöst habe. Bezeichnenderweise habe er bezüglich der Folgen seines Parteiaustritts ([Nicht-]Bestehen von Bedrohungssituationen seitens der PKK) widersprüchliche und unstimmige Angaben gemacht, welche den Schluss zuliessen, er gehöre nach wie vor der PKK an oder habe sich zumindest nicht von ihr getrennt. Die Angemessenheit des Asylausschlusses rechtfertige sich schliesslich auch durch den Umstand, dass er in der Schweiz bereits aufgrund seiner anerkannten Flüchtlingseigenschaft Schutz vor Verfolgung geniesse.</w:t>
      </w:r>
    </w:p>
    <w:p>
      <w:r>
        <w:rPr>
          <w:b/>
        </w:rPr>
        <w:t>E. 4.2</w:t>
      </w:r>
    </w:p>
    <w:p>
      <w:r>
        <w:t>In seiner Beschwerde macht der Beschwerdeführer demgegenüber geltend, die vorinstanzliche Feststellung der Verwerflichkeit der Handlungen und Ziele der PKK sei gemäss Praxis der ARK und des Bundesverwaltungsgerichts für die Frage der Asylunwürdigkeit unerheblich. Ausschlaggebend sei vielmehr die Tätigkeit der betreffenden Person für die Organisation und nicht die blosse Mitgliedschaft. Bei der Beurteilung des individuellen Tatbeitrags sei analog des beim Ausschluss von der Flüchtlingseigenschaft anzuwendenden Beweismassstabes eine individuelle Verantwortlichkeit für verwerfliche Handlungen gefordert. Die Argumentation des BFM, welche der beteuerten Nichtbeteiligung an Kampfhandlungen die Glaubhaftigkeit abspreche, sei in der ihm vorgehaltenen Form nicht haltbar. Vielmehr seien die betreffenden Ausführungen weder ausweichend noch detailarm ausgefallen, und auch im Kontext der übrigen Angaben - vorab betreffend anderweitiger Funktions- und Aufgabenzuweisungen (insb. Logistik und Propaganda) - erscheine diese Nichtbeteiligung an Kampfhandlungen durchaus glaubhaft. Die logistische Tätigkeit in Form des Nachschubes von Lebensmitteln und anderen Versorgungsgütern habe zweifellos dem Organisationszweck gedient. Das BFM verkenne aber in diesem Zusammenhang wiederum die Praxis der ARK und des Bundesverwaltungsgerichts, welche die PKK - im Unterschied insbesondere zur DHKP-C - weder als Bürgerkriegspartei noch als eine ausschliesslich gewaltsame Zwecke verfolgende Organisation bezeichne und folgerichtig den ausschliesslich politisch agierenden PKK-Mitgliedern regelmässig den Asylanspruch einräume. Auch sein junges Beitrittsalter zur PKK, sein bloss kurzzeitiger bewaffneter Einsatz hinter den Kampflinien und seine ebenso kurze Beteiligung an Nachschubtätigkeiten seien bei der Würdigung des individuellen Tatbeitrages zu veranschlagen und rechtfertigten in seinem Fall die Annahme verwerflicher Handlungen im Sinne von Art. 53 AsylG nicht, zumal er rund zehn Jahre seines Engagements unbewaffnet und gewaltfrei für die PKK tätig gewesen sei, bewaffneten Konfrontationen ausgewichen sei und nie eine Kommando- oder Führungsfunktion innegehabt habe. Sodann treffe es zwar zu, dass er freiwillig und ohne Not der PKK beigetreten sei. Seine dargelegten Gründe hinsichtlich der Distanzierung vom bewaffneten Kampf und von der PKK seien indessen detailliert, nachvollziehbar und glaubhaft. Schliesslich treffe der Vorwurf widersprüchlicher und unstimmiger Aussagen ([Nicht-]Bestehen von Bedrohungssituationen seitens der PKK) nicht zu. Aus den Protokollen ergebe sich eindeutig, dass er übereinstimmend von Drohungen gesprochen habe und es sich bei der scheinbar abweichenden Version um eine Präzisierung handle. Ein Asylausschluss trage somit dem Verhalten des Beschwerdeführers nicht angemessen Rechnung.</w:t>
      </w:r>
    </w:p>
    <w:p>
      <w:r>
        <w:rPr>
          <w:b/>
        </w:rPr>
        <w:t>E. 4.3</w:t>
      </w:r>
    </w:p>
    <w:p>
      <w:r>
        <w:t>In seiner die Beschwerdeabweisung beantragenden Vernehmlassung verweist das BFM auf seine bisherigen Standpunkte und Erwägungen, ohne zum Inhalt der Beschwerde substanziell Stellung zu nehmen. 5.1 Praxisgemäss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(Ersatz des Begriffs "Zuchthaus" durch "Freiheitsstrafe von mehr als einem Jahr") scheint auch denkbar, dass eine mit weniger als drei Jahren Freiheitsstrafe bedrohte Straftat als "verwerfliche Handlung" bewertet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Art. 53 AsylG verwendet keinen der Begriffe Verbrechen, Vergehen, Delikte oder strafbare Handlungen, sondern vielmehr den juristisch nicht allgemein definierten und moralisch besetzten Ausdruck der "verwerflichen Handlungen". Auch aus dem Titel von Art. 53 AsylG ("Asylunwürdigkeit") geht, wie in Entscheidungen und Mitteilungen der Schweizerischen Asylrekurskommission (EMARK) 2002 Nr. 9 E. 7d ausgeführt, hervor, dass jemand, der verwerfliche Handlungen begangen habe, des Asyls unwürdig sei, was auf einen gewissen moralischen Charakter der Norm hinweise (vgl. BVGE 2011/29 E. 9.2.2, BVGE 2011/10 E. 6 [2. Abschnitt] und das Urteil des Bundesverwaltungsgerichts E-4286/2008 vom 17. Oktober 2008 E. 6.3, je mit weiteren Hinweisen). Das anzusetzende Beweismass wurde in der Botschaft (a.a.O. S. 73) - mit Bezug auf im Ausland begangene Straftaten - für Art. 1 F FK und Art. 53 AsylG übereinstimmend umschrieben, was sich in der Folge in der Rechtsprechung niedergeschlagen hat. Danach hat die Behörde, die über den Asylausschluss nach Art. 53 AsylG entscheidet, zu prüfen, ob hinlänglich konkrete Anhaltspunkte dafür vorliegen, der Beschwerdeführer habe eine individuelle Verantwortlichkeit für "verwerfliche Handlungen" im Sinne des Asylgesetzes. Es ist somit auf den individuellen Tatbeitrag abzustellen. Zu diesem sind nicht nur die Schwere der Tat und der persönliche Anteil am Tatentscheid, sondern auch das Motiv des Täters und allfällige Rechtfertigungs- oder Schuldmilderungsgründe zu zählen.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2011/29 E. 9.2.3 f., BVGE 2011/10 E. 6 [3. Abschnitt] und EMARK 2002 Nr. 9 E. 7d). 5.2 Nach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diesfalls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 Gemäss vom Bundesverwaltungsgericht übernommener Praxis der ARK lässt sich ein Asylausschluss allein aufgrund der Mitgliedschaft bei der PKK nicht rechtfertigen. Die PKK wird nicht als kriminelle Organisation im Sinne von Art. 260ter des Schweizerischen Strafgesetzbuchs vom 21. Dezember 1937 (StGB, SR 311.0) betrachtet, womit sich Mitglieder nicht allein durch ihre Zugehörigkeit strafbar machen (vgl. BVGE 2011/10 E. 6.1; EMARK 2002 Nr. 9 E. 7c; Urteil des Bundesverwaltungsgerichts D-11/2008 vom 9. Juli 2009 E. 6.2 mit weiteren Hinweisen). Daher kann vorliegend nicht auf eine Mitgliedschaft bei einer kriminellen Organisation geschlossen werden. An der fehlenden Verwerflichkeit der PKK-Mit­gliedschaft als solcher kann dementsprechend auch der Umstand nichts ändern, dass ein Mitglied freiwillig und ohne Not oder gar mit tiefer Überzeugung beigetreten ist. Dementsprechend kann es für die Asylunwürdigkeit nicht genügen, dass ein Betroffener - beispielsweise in Form von blosser Propaganda, Mitgliederwerbung oder auch schon der Mitgliedschaft als solcher - sein Einverständnis mit dem Organisationszweck der PKK manifestiert (vgl. angefochtene Verfügung S. 4, dort 2. Abschnitt am Ende). Vielmehr ist der Fokus auf das Manifestieren eines Einverständnisses oder gar der Förderung verbrecherischer, gewaltsamer oder anderer verwerflicher Mittel zur Erreichung des Organisationszweckes zu legen. Von einer pauschalen Betrachtungsweise ist mithin Abstand zu nehmen und der individuelle Tatbeitrag des Beschwerdeführers hinsichtlich der ihm vorgeworfenen Straftaten beziehungsweise anderer verwerflicher Handlungen ist im Folgenden zu ermitteln. 5.3 Für die Beurteilung des Verhaltens des Beschwerdeführers unter dem Blickwinkel der Asylunwürdigkeit gemäss Art. 53 AsylG sind vorliegend seine Aktivitäten für die PKK im Sinne eines individuellen Tatbeitrags mit persönlicher Verantwortungsträgerschaft massgeblich. Aus den Akten ergibt sich und wird seitens der Vorinstanz an sich nicht bestritten, dass der Beschwerdeführer ein mehrmonatiges militärisches und politisch-ideolo­gisches Ausbildungsprogramm absolviert hat und über Jahre hinweg mit logistischen, kommunikatorischen und propagandistischen Aufgaben, vorab der Mitgliederwerbung, betraut war; daneben war er mitverantwortlich für die Verbindung der PKK zur Zivilbevölkerung und zur DEHAP und wurde bei Bedarf für kurdisch-türkische Übersetzungen herangezogen. Eine direkte Beteiligung an Kampfhandlungen stellte er in Abrede. In den kommunikatorischen und propagandistischen Tätigkeiten scheint der Beschwerdeführer mit den Jahren einen, wenngleich geografisch begrenzten, so doch in der Auftragsausübung autonomen Handlungsspielraum genossen und damit Eigenverantwortung getragen zu haben. Indessen waren diese gemäss den Protokollen nicht direkt auf Kampfhandlungen oder Terrorakte ausgerichtet, sondern auf die Information der Bevölkerung, die Mitgliederwerbung sowie die Pflege der Kontakte zu den mit der PKK verflochtenen politischen Organisationen, vorab der DEHAP. Auch der sporadische Beizug des Beschwerdeführers für Übersetzungen kann noch nicht als verwerflich bezeichnet werden, selbst wenn er sich hierzu gänzlich freiwillig anerboten hätte. Ebenso mag die Nachschubbeschaffung von Lebensmitteln und weiteren Versorgungsgütern prima facie nicht bereits einen zureichenden Verwerflichkeitsgrad erreichen. Diese logistische Mitwirkung des Beschwerdeführers war indessen vorliegend konkret für die örtlich agierenden Kampflinien der PKK bestimmt. Bei Unterbleiben dieses Nachschubes wären die Kampflinien auf Dauer in ihrer Einsatzfähigkeit deutlich reduziert gewesen. Der Tatbeitrag des Beschwerdeführers zur Begehung verwerflichen Handlungen ist daher insoweit keineswegs als unwesentlich zu bezeichnen. Gleichermassen zu beurteilen ist die Absolvierung einer militärischen und politisch-ideologischen Ausbildung. Diese erfolgte im Hinblick auf die Verfolgung der Ziele der PKK, und der Beschwerdeführer erlangte insbesondere mit der Ausbildung an Handfeuerwaffen und an der "Kalaschnikov" die konkrete Befähigung zur Verübung künftiger verwerflicher Handlungen in Form der Teilnahme an Kampfhandlungen und Terrorakten. Die Annahme des für die Anwendbarkeit von Art. 53 AsylG erforderlichen Verwerflichkeitsgrades wird damit greifbar, umso mehr, als die aus den Erwägungen der angefochtenen Verfügung erkennbaren Vorbehalte gegenüber der kategorischen Verneinung einer tatsächlichen persönlichen Beteiligung des Beschwerdeführers an Kampfhandlungen und womöglich terroristischen Aktionen berechtigt sind. So fällt es überaus schwer zu glauben, der für den bewaffneten Kampf ausgebildete Beschwerdeführer habe sich, wie behauptet, über all die Jahre seines aktiven Engagements für die PKK jeglichen Kampfhandlungen entziehen können (und wollen) und kein Einflusspotential auf terroristische Aktionen gehabt. Die Auffassung der Vorinstanz, wonach die Verneinung einer persönlichen Beteiligung des Beschwerdeführers an Kampfhandlungen und terroristischen Aktionen nicht geglaubt werden könne, basiert zwar nicht auf strikten Beweisen, geht aber doch soweit über blosse Mutmassungen hinaus, als eine überwiegende Wahrscheinlichkeit für diese Annahme besteht: Während den gesamten Akten und Umständen keine klaren Anhaltspunkte für die Bekleidung einer höheren militärischen oder ideologischen Kader- beziehungsweise Kommandofunktion oder einer eigentlichen Schaltstelle der PKK durch den Beschwerdeführer entnommen werden kann, gibt es doch konkrete Indizien für die persönliche Teilnahme an Aktivitäten oder der Vorbereitung von solchen, die zum Ziel hatten, feindliche Kämpfer ausser Gefecht zu setzen und/oder mit denen die Tötung und Verletzung von Zivilpersonen in Kauf genommen wurde. Der Passus in der Botschaftsantwort, wonach der Beschwerdeführer in "Aktionen" der PKK involviert sei, sowie die dort erwähnten Datenblätter betreffend Mitgliedschaft und Unterstützung der PKK lassen vorab zumindest vage Rückschlüsse auf die persönliche und eigenverantwortliche Begehung verwerflicher Handlungen zu. Ferner posiert der Beschwerdeführer auf von ihm eingereichten Fotos kampfbereit mit Schusswaffen. Es ist denn auch unvorstellbar, dass die PKK einen jungen, gesunden Freiwilligen zwar für den Kampf ausbildet, ihn aber dann über Jahre hinweg nie für Kampfhandlungen, Vergeltungsschläge, Hinrichtungen von Verrätern und dergleichen einsetzt, selbst wenn nicht mit der gleichen Wahrscheinlichkeit ausgesagt werden kann, er habe auch Verbrechen gegen die Zivilbevölkerung oder andere Kriegsverbrechen begangen. Ebenso unwahrscheinlich ist seine Behauptung, dass er in der PKK keinen Rang (wenigstens in der mittleren Hierarchie) bekleidet habe, zumal ihm die Anwerbung von Mitgliedern in einem geografischen Rayon aufgetragen wurde. In dieses Bild passt auch, dass der Beschwerdeführer unbestrittenerweise mit seinem Namen in den Anschlag von C._______ involviert gewesen ist. Ein eigener Tatbeitrag ist ihm zwar offensichtlich abzusprechen, aber der seitens der "JITEM" (informeller Geheimdienst der türkischen Gendarmerie) beziehungsweise seitens türkischer Straf- und Terrorverfolgungsbehörden misslungene Versuch der Unterschiebung der Drahtzieherschaft dieses Bombenanschlags zu Lasten des namentlich genannten Beschwerdeführers lässt erkennen, dass er zumindest lokal eine gewisse Bedeutung als PKK-Verantwortlicher gehabt haben musste. Auch seine vielseitigen und langjährig bearbeiteten Betätigungsfelder (Waffen- und politisch-ideolo­gische Ausbildung, Logistik, vermutlich Kampfeinsätze, Kommunikation, Propaganda, Übersetzer, Schnittstelle der PKK zu Zivilbevölkerung und DEHAP) setzen ein Organisations- und Vernetzungsniveau voraus, das ohne gleichzeitige Bekleidung einer zumindest mittleren Kaderposition nicht denkbar ist. Aufgrund dieser Umstände ergibt sich eine mit BVGE 2011/10 (dort insb. E. 6.2) qualitativ durchaus vergleichbare Konstellation. Mithin ist davon auszugehen, er verberge wesentliche Sachverhaltselemente im Hinblick auf die - erfolglos bleibende - Kachierung seiner Asylunwürdigkeit. In Berücksichtigung der gesamten Akten und Umstände rechtfertigt es sich vorliegend, von einem individuellen, eigenverantwortlichen und erheblichen Engagement des Beschwerdeführers für die PKK auszugehen, das die Schwelle zu verwerflichen Handlungen und mithin zur Annahme der Asylunwürdigkeit im Sinne von Art. 53 AsylG erreicht. Angesichts der erwähnten sachverhaltlichen Analogie zu BVGE 2011/10 (insbesondere unter Mitberücksichtigung der in beiden Fällen bereits mehrjährig zurückliegenden verwerflichen Taten) und unter Verweisung auf die betreffenden Erwägungen in der angefochtenen Verfügung darf die Annahme der Asylunwürdigkeit auch in der Person des (als Flüchtling bereits vorläufig in der Schweiz aufgenommenen) Beschwerdeführers als verhältnismässig bezeichnet werden. 5.4 Nach dem Gesagten geht die Vorinstanz zurecht von der Asylunwürdigkeit des Beschwerdeführers wegen verwerflicher Handlungen aus. Die Prüfung einer allfälligen Gefährdung oder Verletzung der inneren oder äusseren Sicherheit der Schweiz im Sinne der (alternativen) zweiten Tatbestandsvariante von Art. 53 AsylG erübrigt sich daher.</w:t>
      </w:r>
    </w:p>
    <w:p>
      <w:r>
        <w:rPr>
          <w:b/>
        </w:rPr>
        <w:t>E. 6</w:t>
      </w:r>
    </w:p>
    <w:p>
      <w:r>
        <w:t>Aus diesen Erwägungen ergibt sich, dass die Verfügung vom 4. November 2009, soweit angefochten, Bundesrecht nicht verletzt, den rechtserheblichen Sachverhalt richtig und vollständig feststellt und angemessen ist (Art. 106 AsylG). Die Beschwerde ist abzuweisen.</w:t>
      </w:r>
    </w:p>
    <w:p>
      <w:r>
        <w:rPr>
          <w:b/>
        </w:rPr>
        <w:t>E. 7</w:t>
      </w:r>
    </w:p>
    <w:p>
      <w:r>
        <w:t>Bei diesem Ausgang des Verfahrens wären die Kosten dem Be­schwerdeführer aufzuerlegen (Art. 63 Abs. 1 VwVG). Auf deren Erhebung ist jedoch in Anbetracht der mit Zwischenverfügung vom 9. Dezember 2009 gewährten unentgeltlichen Prozessführung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