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E-7452/2008 vom 3. August 2011</w:t>
      </w:r>
    </w:p>
    <w:p>
      <w:r>
        <w:t>Bundesverwaltungsgericht, 2011-08-03, DE</w:t>
      </w:r>
    </w:p>
    <w:p>
      <w:r>
        <w:rPr>
          <w:b/>
        </w:rPr>
        <w:t xml:space="preserve">Quelle: </w:t>
      </w:r>
      <w:r>
        <w:t>https://mcp.opencaselaw.ch/entscheid/bvger_E-7452_2008</w:t>
      </w:r>
    </w:p>
    <w:p>
      <w:r>
        <w:t>FR: TAF E-7452/2008 du 3 août 2011</w:t>
      </w:r>
    </w:p>
    <w:p>
      <w:r>
        <w:t>IT: TAF E-7452/2008 del 3 agosto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des Asylgesetzes vom 26. Juni 1998 [AsylG, SR 142.31]; Art. 83 Bst. d Ziff. 1 des Bundesgerichtsgesetzes vom 17. Juni 2005 [BGG, SR 173.110]). Das Verfahren richtet sich nach dem VwVG, soweit das VGG nichts anderes bestimmt (Art. 37 VGG).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AsylG). Flüchtlingen wird unter anderem dann nicht Asyl gewährt, wenn sie erst durch ihre Ausreise aus dem Heimat- oder Herkunftsstaat oder wegen ihres Verhaltens nach der Ausreise zu Flüchtlingen im Sinne von Art. 3 AsylG wurden (subjektive Nachfluchtgründe nach Art. 54 AsylG).</w:t>
      </w:r>
    </w:p>
    <w:p>
      <w:r>
        <w:rPr>
          <w:b/>
        </w:rPr>
        <w:t>E. 4.1</w:t>
      </w:r>
    </w:p>
    <w:p>
      <w:r>
        <w:t>Das BFM begründet die Abweisung des Asylgesuchs damit, dass die Aussagen der Beschwerdeführerin durchwegs unsubstantiiert und wider­sprüchlich seien. Insbesondere seien ihre Aussagen zu den Haftumständen extrem knapp, ihre Begründung und Motivation, der Pfingstgemeinde beizutreten, seien unsubstantiiert, ebenso die Schilderung der Umstände der Festnahmen. Schliesslich habe sich die Beschwerdeführerin in der Befragung zur Person und in der Anhörung widersprüchlich bezüglich der Bedingungen geäussert, unter denen sie aus der zweimonatigen Haft entlassen worden sei.</w:t>
      </w:r>
    </w:p>
    <w:p>
      <w:r>
        <w:rPr>
          <w:b/>
        </w:rPr>
        <w:t>E. 4.2</w:t>
      </w:r>
    </w:p>
    <w:p>
      <w:r>
        <w:t>Die Beschwerdeführerin bringt demgegenüber in ihrer Beschwerde vor, sie habe alle gestellten Fragen genau und ausführlich beantwortet. Fragen, die ihr nicht gestellt worden seien, hätte sie jedoch nicht beantworten können. Zu ihrer Inhaftierung habe sie klare, widerspruchsfreie und schlüssige Angaben gemacht. Der angebliche Widerspruch bezüglich der Bedingungen ihrer Freilassung sei in Anbetracht der entsprechenden Passagen in den Protokollen unhaltbar. Die eingereichten Beweismittel belegten die Zugehörigkeit zur Pfingstgemeinde zur Genüge. Ihre Vorbringen bezüglich der Verfolgungshandlungen, denen sie in Eritrea aus­gesetzt gewesen sei, deckten sich mit den Lageberichten zahlreicher Menschenrechtsorganisationen und seien deshalb glaubhaft.</w:t>
      </w:r>
    </w:p>
    <w:p>
      <w:r>
        <w:rPr>
          <w:b/>
        </w:rPr>
        <w:t>E. 5.1</w:t>
      </w:r>
    </w:p>
    <w:p>
      <w:r>
        <w:t>Die Flüchtlingseigenschaft ist dann nachzuweisen, wenn der Beweis möglich ist. Da die Asylsuchenden oft den strikten Beweis über Sachverhalte bezüglich ihrer Verfolgung in ihrem Heimatland nicht erbringen können und sie sich in einem Beweisnotstand befinden, da es sich um Ereignisse handelt, die den Gesetzen ihrer Herkunftsstaaten widersprechen, meist nicht dokumentiert sind und keine Kooperation der heimischen Amtsstellen zu erwarten ist, lässt das Gesetz das verminderte Beweismass der Glaubhaftmachung zu (Art. 7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in: Entscheidungen und Mitteilungen der Schweizerischen Asylrekurskommission [EMARK] 2005 Nr. 21 E. 6.1 mit weiteren Hinweisen, welche vom Bundesverwaltungsgericht weitergeführt wird).</w:t>
      </w:r>
    </w:p>
    <w:p>
      <w:r>
        <w:rPr>
          <w:b/>
        </w:rPr>
        <w:t>E. 5.2</w:t>
      </w:r>
    </w:p>
    <w:p>
      <w:r>
        <w:t>Angesichts der grossen Zahl von eingereichten Beweismitteln erscheint es angebracht, vorab ein Inventar der beim BFM beziehungsweise beim Bundesverwaltungsgericht zu den Akten gegebenen Dokumente zu erstellen: a) eritreische Identitätskarte vom (...), lautend auf [Name der Beschwerdeführerin mit zusätzlichem dritten Namen], geboren (...), Nr. (...) (inkl. Übersetzung ins Deutsche, erstellt vom Amtsübersetzer anlässlich der EVZ-Befragung); b) eritreischer Ausweis vom (...), ausgestellt von der staatlichen Commission for Eritrean Refugee Affairs, lautend auf den Namen der Beschwerdeführerin, versehen mit einer Foto von ihr und ihren beiden Kindern, Nr. (...); c) Auszug aus dem städtischen Familienregister von D._______, datiert vom (...), lautend auf die Namen E._______ (Ehemann/Vater) und die Beschwerdeführenden, Familienhaupt-Reg.-Nr. (...) (Fotokopie); d-f) Geburtsscheine der drei Beschwerdeführenden, alle am (...) in D._______ ausgestellt; g) Heiratsurkunde vom (...), Urkunde Nr. (...), Bestätigung der Eheschliessung nach Brauch am (...) und der offiziellen Registrierung der Ehe am (...); h) Bestätigung eines Pastors der (...) Church of Eritrea in D._______ vom (...) betr. Taufe und Mitgliedschaft der Beschwerdeführerin; i) Foto der Erwachsenentaufe der Beschwerdeführerin; j-k) Bestätigung der Freikirche (...) Church vom (...) betr. Mitgliedschaft und Teilnahme der Beschwerdeführerin; Bestätigung des Besuchs eines Gospelkurses bei dieser Kirche vom (...); l) Bestätigung der (...) Gemeinde (...) vom (...) betr. kirchliche Aktivitäten der Beschwerdeführerin im Sommer 2007; m-n) zwei DVD betr. Gottesdienste der Pfingstgemeinde von 2007; o) Formular Desertion und illegaler Grenzübertritt betr. den Vater der Beschwerdeführerin vom (...) (Fotokopie, mit Deutsch-Übersetzung); p-q) zwei Diplome der Beschwerdeführerin über die Ausbildung als Schneiderin und Köchin aus den Jahren 1999 und 2001 (Fotokopien).</w:t>
      </w:r>
    </w:p>
    <w:p>
      <w:r>
        <w:rPr>
          <w:b/>
        </w:rPr>
        <w:t>E. 5.3</w:t>
      </w:r>
    </w:p>
    <w:p>
      <w:r>
        <w:t>Die vorangestellten Ausführungen über das reduzierte Beweismass der Glaubhaftmachung gelten sowohl für die Frage, ob die Beschwerdeführerin in Eritrea einer Pfingstkirche angehörte, als auch für die geltend gemachten Verfolgungen wegen der Religionszugehörigkeit und damit verbundenen Aktivität. Da die Pfingstkirchen in Eritrea verboten sind und Personen, die der Mitgliedschaft in einer solchen Kirche verdächtigt wer­den, von den staatlichen Behörden überwacht und teilweise verfolgt wer­den, ist ein strikter Beweis der Mitgliedschaft für die Beschwerdeführerin weder zumutbar noch möglich.</w:t>
      </w:r>
    </w:p>
    <w:p>
      <w:r>
        <w:rPr>
          <w:b/>
        </w:rPr>
        <w:t>E. 5.3.1</w:t>
      </w:r>
    </w:p>
    <w:p>
      <w:r>
        <w:t>Die Glaubhaftigkeit der Mitgliedschaft der Beschwerdeführerin in einer Pfingstkirche ist damit aufgrund einer Gesamtwürdigung ihrer Aussagen und der eingereichten Beweismittel zu beurteilen. Die Beschwerdeführerin beantwortete die Frage nach dem Grund für den Beitritt in der summarischen Anhörung dahingehen, dass ihr Mann, mit welchem sie seit 1994 nach Brauch und ab Oktober 2004 offiziell verheirat ist, sie über die Bibelinhalte gelehrt habe und sie ihm ab 2004 in die Kirche gefolgt sei; getauft worden sei sie im Jahr 2005. Die Beschwerdeführerin wurde in den beiden Anhörungen weder weitergehend nach ihren Motiven noch zu den konkreten Glaubensinhalten gefragt. Hätten die seitens des BFM befragenden Personen zu diesem Zeitpunkt Zweifel an der Mitgliedschaft der Beschwerdeführerin bei einer Pfingstkirche in Eritrea gehabt, hätten sie entsprechend nachfragen müssen. Dass die Beschwerdeführerin ihrem Mann nach mehreren Jahren faktischer Ehe nach offizieller Verheiratung in die Kirche gefolgt ist, ist grundsätzlich plausibel. Der offizielle Eheschluss im Jahr 2004 wird mit entsprechenden Dokumenten bewiesen (E. 5.2 Bst. g) und die Zugehörigkeit zur Pfingstkirche (...) wird mit der kirchlichen Bestätigung und der Fotografie der Taufzeremonie (E. 5.2 Bst. h-i) belegt. Es ist, wie von der Beschwerde­führerin zu Recht vorgebracht, nur schwer vorstellbar, dass dieses Foto gefälscht oder gekauft worden sein könnte, weshalb es als echt zu betrachten ist. Die Bestätigungsschreiben von zwei Pfingstgemeinden in der Schweiz und die beiden DVD's (E. 5.2 Bst. j-n) können zwar, wie das BFM zu Recht vorbringt, ihr Engagement in diesen Kirchen nicht beweisen. Erst recht vermögen sie die seinerzeitige Mitgliedschaft in Eritrea nicht zu beweisen. Sie bilden aber sehr wohl ein zusätzliches Indiz für die Verbundenheit der Beschwerdeführerin mit der Religion und sind in der Gesamtabwägung bezüglich der Glaubhaftigkeit ihrer Vorbringen miteinzubeziehen. Konkrete Argumente, welche die diesbezüglichen Aussagen der Beschwerdeführerin in Zweifel ziehen würden, sind nicht auszumachen. Der Beschwerdeführerin ist es damit gelungen, ihre Mitgliedschaft in der Pfingstkirche in Eritrea glaubhaft zu machen.</w:t>
      </w:r>
    </w:p>
    <w:p>
      <w:r>
        <w:rPr>
          <w:b/>
        </w:rPr>
        <w:t>E. 5.3.2</w:t>
      </w:r>
    </w:p>
    <w:p>
      <w:r>
        <w:t>Bezüglich der geltend gemachten Verfolgung durch die eritreischen Behörden aufgrund ihrer Mitgliedschaft in der Pfingstkirche ist festzu­stellen, dass die Aussagen der Beschwerdeführerin mit Berichten verschiedener Beobachter der Situation in Eritrea übereinstimmen (vgl. unter vielen anderen Quellen: UNHCR Eligibility Guidelines for Assessing the International Protection Needs of Asylum-Seekers from Eritrea, 20. April 2011, S. 24 ff.; Geiser Alexandra, Eritrea: Evangelikale und pentekostale Kirchen, Auskunft der SFH-Länderanalyse, 9. Februar 2011, S. 2; Annual Report of the United States Commission on International Religious Freedom, Mai 2011, S. 68 ff.; Human Rights Watch, Service for Life, State Repression and Indefinite Conscription in Eritrea, April 2009, S. 59 ff.). Diesen Berichten zufolge sind in Eritrea lediglich vier Kirchgemeinden offiziell zugelassen, alle anderen Kirchen sind seit 2002 verboten; ihre Gebetsräume wurden geschlossen. Insbesondere ist es den Angehörigen dieser verbotenen Kirchen untersagt, öffentlich ihrem Glauben nachzugehen. Zudem gehen die staatlichen Behörden zumindest in einigen Regionen Eritreas auch gegen private Zusammenkünfte und Betgruppen dieser Religionen vor und nehmen Teilnehmende fest. Diese werden regelmässig ohne Prozess über kürzere oder längere Zeit festgehalten. Berichtet wird auch, dass religiöse Gefangene bei ihrer Freilassung ihrem Glauben abschwören und dies schriftlich bestätigen müssen. Pfingstkirchen scheinen dabei zusammen mit den Zeugen Jehovas zu den häufigsten Zielgruppen zu gehören. Die Aussagen der Beschwerdeführerin sind mit diesen als glaubhaft einzustufenden Berichten in jeder Beziehung kompatibel, erzählt sie doch von Verhaftungen während privater Zusammenkünften, von willkürlicher Haft auf unbestimmte Zeit ohne Anklage und Prozess sowie von der Verpflichtung, nach der Haftentlassung dem Glauben abzuschwören. Zudem ist festzustellen, dass die Beschwerdeführerin zwar knapp, aber doch genügend substantiiert über ihre Erlebnisse Auskunft gab. Auf die lediglich bei der Anhörung zu den Asylgründen gestellten Frage nach den Haftbedingungen antwortete sie tatsächlich nur: "sehr schlimm". Die be­fragende Person stellte keine weitere Frage zu den Haftbedingungen mit Ausnahme einer solchen nach allfälligen Misshandlungen, die von der Beschwerdeführerin dahingehend beantwortet wurde, dass die Inhaftierten bedroht worden seien, den Glauben abzuschwören (A11 S. 6). Im Übrigen erzählte die Beschwerdeführerin mit der zu erwartenden Ausführlichkeit. So nannte sie die genauen Daten ihrer Verhaftungen, die Namen und Art der beiden Gefängnisse, in denen sie inhaftiert war, die Dauer der jeweiligen Haft und erwähnte die separate Inhaftierung (A11 S. 6 f., A2 S. 4 f.), ohne sich in den beiden Anhörungen zu widersprechen. Sie machte Angaben zu den Umständen der Verhaftung, zum Tagesablauf im Gefängnis und zu den Bedingungen ihrer Entlassung. Schliesslich ist auch in diesem Zusammenhang festzustellen, dass es an der befragenden Person gelegen hätte, den Sachverhalt anlässlich der Anhörung - die nur gut zwei Stunden dauerte - durch zusätzliche Fragen weiter zu erhellen, falls sie Zweifel an der Richtigkeit der Vorbringen gehabt haben sollte. Die Behauptung des BFM, die Beschwerdeführerin habe bezüglich der Bedingungen ihrer Haftentlassung widersprüchliche Aussagen gemacht, in dem sie einmal ausgesagt habe, sie habe bei ihrer Entlassung ein Do­kument unterschrieben, ein anderes Mal, sie habe wöchentlich ein solches unterschreiben müssen, kann zudem nicht gestützt werden. Die Beschwerdeführerin sagte gemäss Protokoll an der summarischen Befragung vom 12. Februar 2007 (A2 S. 5): "Dann kam ich mit einer Verwarnung raus. Sie kamen dann immer einmal in der Woche vorbei und liessen mich ein Dokument unterschreiben, welches besagte, dass ich nie etwas mit der Bibel zu tun haben werde." In der Anhörung vom 30. Mai 2008 sagte sie aus, sie habe bei ihrer Entlassung einen Brief unterschreiben müssen, dass sie mit den anderen Leuten keinen Kontakt aufnehmen und auch nichts mit der Bibel zu tun haben dürfe (A11 S. 5). Die Aussage in der summarischen Befragung kann nicht nur so verstanden werden, dass die Beschwerdeführerin jede Woche ein entsprechendes Dokument unterschreiben musste, was, wie die Beschwerdeführerin zu Recht vorbringt, in der Tat keinen Sinn gehabt hätte. Zieht man zudem Verzerrun­gen durch die Übersetzung und die Protokollierung - Verbindung von zwei unabhängigen Aussagen durch die Konjunktion "und" in einem Satz? - sowie die Tatsache mit ein, dass die summarische Befragung nur beschränkt der Abklärung der Asylgründe dient (vgl. EMARK 1993 Nr. 6 E. 3), lässt sich die Aussage der Beschwerdeführerin in der Anhörung ohne Weiteres als Konkretisierung ihrer Aussage anlässlich der summari­schen Befragung lesen: Einerseits musste sie bei ihrer Entlassung ein Dokument unterschreiben, dass sie weder mit Leuten ihrer Kirchgemeinde Kontakt aufnehmen würde, noch je wieder etwas mit der Bibel zu tun haben werde. Anderseits wurde sie wöchentlich von den staatlichen Be­hörden kontrolliert.</w:t>
      </w:r>
    </w:p>
    <w:p>
      <w:r>
        <w:rPr>
          <w:b/>
        </w:rPr>
        <w:t>E. 5.3.3</w:t>
      </w:r>
    </w:p>
    <w:p>
      <w:r>
        <w:t>Zusammenfassend ist festzuhalten, dass die Vorbringen der Be­schwerdeführerin bezüglich ihrer Verhaftungen, ihrer Gefängnisaufenthalte und der Bedingungen ihrer Freilassung glaubhaft sind. Zu Gunsten der Glaubwürdigkeit der Beschwerdeführerin ist auch anzuführen, dass sie offenbar all diejenigen Beweismittel - zur Identität der Familienmitglieder, zur Heirat, zu ihrem Bezug zu den Kirchgemeinden in Eritrea und der Schweiz, zu ihrer Ausbildung, zu ihrem Vater -, derer sie habhaft werden konnte, dem Gericht eingereicht hat und damit das von ihr im Rahmen ihrer Mitwirkungspflicht zu Erwartende erfüllt hat. Insgesamt ist es den Beschwerdeführenden nicht zuletzt aufgrund der persönlichen Glaubwürdigkeit der Beschwerdeführerin gelungen, eine erlittene asylrelevante Verfolgung im Sinne von Art. 1A des Abkommens vom 28. Juli 1951 über die Rechtsstellung der Flüchtlinge (FK, SR 0.142.30) und Art. 3 AsylG glaubhaft zu machen.</w:t>
      </w:r>
    </w:p>
    <w:p>
      <w:r>
        <w:rPr>
          <w:b/>
        </w:rPr>
        <w:t>E. 5.4</w:t>
      </w:r>
    </w:p>
    <w:p>
      <w:r>
        <w:t>Vergangene Verfolgung ist nur dann für das Bestehen der Flüchtlingseigenschaft von Bedeutung, wenn daraus auf eine im Zeitpunkt des Asylentscheides andauernde Gefahr vor künftiger Verfolgung zu schliessen ist. Angesichts der bezüglich Umgang mit nicht genehmen religiösen Gruppen unveränderten Situation in Eritrea haben die Beschwerdeführen­den aus gutem Grund Furcht vor künftiger Verfolgung im Falle einer Rückkehr. Sie erfüllen damit die Flüchtlingseigenschaft.</w:t>
      </w:r>
    </w:p>
    <w:p>
      <w:r>
        <w:rPr>
          <w:b/>
        </w:rPr>
        <w:t>E. 5.5</w:t>
      </w:r>
    </w:p>
    <w:p>
      <w:r>
        <w:t>Da die Beschwerdeführenden nicht erst in der Schweiz sich der Pfingstgemeinde angeschlossen haben, sondern bereits im Zeitpunkt des Verlassens der Heimatlandes die Flüchtlingseigenschaft erfüllt haben, ist der Asylausschussgrund von Art. 54 (subjektive Nachfluchtgründe; siehe vorn E. 3, 2. Absatz) nicht anwendbar. Da auch kein anderer gesetzlicher Asylausschlussgrund (vgl. Art. 52, 53 und 55 AsylG) vorliegt, ist ihnen Asyl zu gewähren (Art. 2 Abs. 1 AsylG).</w:t>
      </w:r>
    </w:p>
    <w:p>
      <w:r>
        <w:rPr>
          <w:b/>
        </w:rPr>
        <w:t>E. 6.1</w:t>
      </w:r>
    </w:p>
    <w:p>
      <w:r>
        <w:t>Bei diesem Ausgang des Verfahrens sind keine Verfahrenskosten aufzuerlegen (Art. 63 Abs. 1 und 2 VwVG).</w:t>
      </w:r>
    </w:p>
    <w:p>
      <w:r>
        <w:rPr>
          <w:b/>
        </w:rPr>
        <w:t>E. 6.2</w:t>
      </w:r>
    </w:p>
    <w:p>
      <w:r>
        <w:t>Den obsiegenden und im Verfahren vor dem Bundesverwaltungsgericht vertretenen Beschwerdeführenden ist zu Lasten der Vorinstanz eine Parteientschädigung für die ihnen erwachsenen notwendigen und verhältnismässig hohen Kosten zuzusprechen (Art. 64 Abs. 1 VwVG in Verbindung mit Art. 7 des Reglements vom 21. Februar 2008 über die Kosten und Entschädigungen vor dem Bundesverwaltungsgericht [VGKE, SR 173.320.2]). Es wurde vom Rechtsvertreter keine Kostennote zu den Akten gereicht. Der notwendige Vertretungsaufwand lässt sich indes aufgrund der Aktenlage zuverlässig abschätzen, weshalb praxisgemäss auf die Einholung einer solchen verzichtet wird (vgl. Art. 14 Abs. 2 VGKE). In Anwendung der genannten Bestimmungen und unter Berücksichtigung der massgeblichen Bemessungsfaktoren (vgl. Art. 8 ff. VGKE) ist die vom BFM auszurichtende Parteientschädigung von Amtes wegen auf pauschal Fr. 1200.- (ausgehend von einem Ansatz von Fr. 150.- pro Stunde, inklusive Auslagen und Mehrwertsteueranteil)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