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E-7447/2010 vom 22. September 2011</w:t>
      </w:r>
    </w:p>
    <w:p>
      <w:r>
        <w:t>Bundesverwaltungsgericht, 2011-09-22, FR</w:t>
      </w:r>
    </w:p>
    <w:p>
      <w:r>
        <w:rPr>
          <w:b/>
        </w:rPr>
        <w:t xml:space="preserve">Quelle: </w:t>
      </w:r>
      <w:r>
        <w:t>https://mcp.opencaselaw.ch/entscheid/bvger_E-7447_2010</w:t>
      </w:r>
    </w:p>
    <w:p>
      <w:r>
        <w:t>FR: TAF E-7447/2010 du 22 septembre 2011</w:t>
      </w:r>
    </w:p>
    <w:p>
      <w:r>
        <w:t>IT: TAF E-7447/2010 del 22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dit être recherché dans son pays pour sa participation à des activités clandestines en faveur du FLO. Il en veut pour preuve la convocation au commissariat de police de B._______ qu'il a produite en instance de recours sans toutefois juger utile de préciser quand et comment il était entré en possession de ce document. De fait, la valeur probante à accorder à un moyen dont l'authenticité est sujette à caution, comme c'est ici le cas, dépend en définitive de la vraisemblance des événements à l'origine de ce moyen. En l'espèce, force est de constater que cette vraisemblance n'est pas acquise. En effet, de la comparaison des procès-verbaux des auditions du recourant, il se dégage bien deux récits distincts : selon l'un, les autorités de son pays le rechercheraient depuis février-mars 2009 parce qu'elles le soupçonneraient d'être membre du FLO dont il dit avoir participé à des réunions et qu'il aurait aussi ponctuellement soutenu financièrement. Selon l'autre, quand bien même sa mère serait d'ethnie oromo, il ne connaîtrait rien de la culture de cette ethnie et n'en comprendrait la langue qu'un petit peu mais il serait recherché depuis décembre 2009 par les autorités de son pays pour avoir assisté deux membres du FLO dans leurs activités séditieuses en échange de travaux rémunérés. Dans son mémoire, le recourant n'a en rien justifié ses divergences. Aussi, selon la jurisprudence, du moment que les déclarations claires, faites audit centre, portant sur des points essentiels des motifs d'asile, sont diamétralement opposées aux déclarations faites ultérieurement à l'autorité cantonale ou à l'ODM, ou lorsque des événements allégués par la suite comme motif principal d'asile n'ont pas été évoqués, au moins dans les grandes lignes, au centre d'enregistrement, le Tribunal est en droit de retenir au détriment du recourant de telles contradictions et, par conséquent, de conclure à l'invraisemblance de ses motifs de fuite (Jurisprudence et Informations de la Commission suisse de recours en matière d'asile [JICRA] 1993 no 3, p. 11ss; cf. JICRA 1996 no 17, p. 150ss). S'ajoute à ce qui précède que la date éthiopienne mentionnée sur la convocation produite en instance de recours laisse penser que celle-ci a été émise le deux février 2009 du calendrier grégorien. Or selon les déclarations du recourant, les autorités de son pays l'auraient tantôt recherché au plus tôt à ce moment tantôt en décembre suivant, des policiers étant encore passés chez lui en janvier 2010. Dès lors, il ne pouvait ignorer l'existence de cette convocation dont à aucun moment il n'a pourtant fait mention lors de ses auditions où il a déclaré avoir appris par des connaissances qu'il était recherché. Le Tribunal conclut ainsi à l'inauthenticité de la convocation en question cela d'autant plus qu'il lui paraît que l'écusson qui y figure en haut à gauche ne correspond pas, sous plusieurs aspects, à l'écusson officiel. Enfin, le Tribunal relève encore que l'affidavit du FLO annexé au recours du 18 octobre 2010 ne dit pas que le recourant serait recherché dans son pays pour des activités en faveur de ce mouvement.</w:t>
      </w:r>
    </w:p>
    <w:p>
      <w:r>
        <w:rPr>
          <w:b/>
        </w:rPr>
        <w:t>E. 3.2</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w:t>
      </w:r>
    </w:p>
    <w:p>
      <w:r>
        <w:t>Dès lors que le recourant invoque ses problèmes de santé et la nécessité de pouvoir continuer à être suivi médicalement en Suisse, il convient d'examiner la licéité du renvoi sous l'angle de l'art. 3 de la Convention du 4 novembre 1950 de sauvegarde des droits de l'homme et des libertés fondamentales (CEDH ; RS 0.101) qui dispose que nul ne peut être soumis à la torture ni à des peines ou traitements inhumains ou dégradants. Cette disposition recouvre en effet les difficultés à bénéficier des soins médicaux (ATF 2A.28/2004 du 7 mai 2004 consid. 3.6 in fine ; 2A.214/2002 du 23 août 2002 consid. 3.6; CourEDH, arrêt D. c. Royaume-Uni du 2 mai 1997, Recueil 1997 III p. 777 ss).</w:t>
      </w:r>
    </w:p>
    <w:p>
      <w:r>
        <w:rPr>
          <w:b/>
        </w:rPr>
        <w:t>E. 6.1</w:t>
      </w:r>
    </w:p>
    <w:p>
      <w:r>
        <w:t>Pour tomber sous le coup de l'art. 3 CEDH, un mauvais traitement doit atteindre un minimum de gravité. L'appréciation de ce minimum dépend de l'ensemble des données de la cause (ATF 134 I 221).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(CourEDH, arrêt N. c. Royaume-Uni du 27 mai 2008, affaire no 26565/05 § 30). La Cour européenne des droits de l'homme exige un seuil de gravité élevé pour que l'état de santé d'une personne lui permette de s'opposer à son expulsion (arrêt Emre § 92; arrêt N. c. Royaume-Uni § 42) (cf. ATF 2D_67/2009 du 4 février 2010 consid. 6.1).</w:t>
      </w:r>
    </w:p>
    <w:p>
      <w:r>
        <w:rPr>
          <w:b/>
        </w:rPr>
        <w:t>E. 6.2</w:t>
      </w:r>
    </w:p>
    <w:p>
      <w:r>
        <w:t>Dans le cas d'espèce, les problèmes de santé du recourant, qui a pu bénéficier de traitements en Suisse et dont l'état est maintenant stabilisé, n'atteignent pas le degré de gravité requis pour que le renvoi se heurte à l'art. 3 CEDH. Certes, le recourant a produit un ultime certificat médical du 21 juin 2011 qui, tout en confirmant la stabilisation de son état de santé, laisse entendre qu'en cas de complication ophtalmique la prise en charge à assurer sera certainement plus adéquate en Suisse qu'en Ethiopie. Le simple fait que sa situation risque d'être moins favorable dans le cas d'une hypothétique aggravation ultérieure de son état de santé ne saurait toutefois remettre en cause l'appréciation qui précède. En outre, il est possible de bénéficier de soins pour les yeux à B._______ d'où vient le recourant. Outre le Département d'ophtalmologie de la faculté de médecine de B._______, on trouve dans cette ville des structures médicales spécialisées dans l'ophtalmologie. Avant de venir en Suisse le recourant a d'ailleurs pu s'y faire soigner. Les contrôles bisannuels recommandés par les ophtalmologues de D._______ lui avaient ainsi déjà été conseillés dans son pays. Il a donc la possibilité d'y faire contrôler ses yeux. Pour payer ces contrôles, il pourra aussi compter sur le soutien de sa famille dont il a par ailleurs dit que ses membres l'avaient aidé à payer son voyage en Europe.</w:t>
      </w:r>
    </w:p>
    <w:p>
      <w:r>
        <w:rPr>
          <w:b/>
        </w:rPr>
        <w:t>E. 6.3</w:t>
      </w:r>
    </w:p>
    <w:p>
      <w:r>
        <w:t>On parvient à la même conclusion si l'on examine l'admissibilité du renvoi sous l'angle de l'art. 83 al. 4 LEtr, disposition qui prévoit que l'exécution de la décision de renvoi ne peut pas être raisonnablement exigée si elle met l'étranger concrètement en danger, notamment en cas de nécessité médicale. Selon la jurisprudence du Tribunal, s'agissant des personnes en traitement médical en Suisse, l'exécution du renvoi ne devient inexigible pour ce motif, en cas de retour dans leur pays d'origine ou de provenance, que dans la mesure où elles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(ATAF E-5526/2006 du 9 juillet 2009 consid. 7.2, ainsi que les références citées).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(ATAF E-5526/2006 précité). En l'occurrence, en tenant compte de l'amélioration et de la stabilisation de l'état du recourant, le tribunal de céans n'a pas de raison de douter que ces exigences sont remplies.</w:t>
      </w:r>
    </w:p>
    <w:p>
      <w:r>
        <w:rPr>
          <w:b/>
        </w:rPr>
        <w:t>E. 6.4</w:t>
      </w:r>
    </w:p>
    <w:p>
      <w:r>
        <w:t>Enfin, toujours selon l'art. 83 al. 4 LEtr, l'exécution d'une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6.5</w:t>
      </w:r>
    </w:p>
    <w:p>
      <w:r>
        <w:t>En l'occurrence, 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6.6</w:t>
      </w:r>
    </w:p>
    <w:p>
      <w:r>
        <w:t>De même, il ne ressort du dossier aucun élément dont on pourrait inférer de l'exécution du renvoi du recourant une mise en danger concrète pour lui. A cet égard, l'autorité de céans relève que le recourant qui est encore jeune et au bénéfice d'une expérience professionnelle, travaillait déjà dans son pays avant de venir en Suisse. Il est donc en mesure de subvenir à ses besoins. Au demeurant, il dispose dans son pays d'un réseau familial et social sur lequel il pourra aussi compter à son retour.</w:t>
      </w:r>
    </w:p>
    <w:p>
      <w:r>
        <w:rPr>
          <w:b/>
        </w:rPr>
        <w:t>E. 6.7</w:t>
      </w:r>
    </w:p>
    <w:p>
      <w:r>
        <w:t>En définitive, l'exécution du renvoi du recourant sous forme de refoulement ne transgresse aucun engagement de la Suisse relevant du droit international, de sorte qu'elle s'avère licite (art. 44 al. 2 LAsi et 83 al. 3 LEtr) et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 Tribunal décide toutefois de renoncer à la perception de ces frais compte tenu des circonstances particulières du cas d'espèce.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