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E-7445/2009 vom 27. März 2012</w:t>
      </w:r>
    </w:p>
    <w:p>
      <w:r>
        <w:t>Bundesverwaltungsgericht, 2012-03-27, DE</w:t>
      </w:r>
    </w:p>
    <w:p>
      <w:r>
        <w:rPr>
          <w:b/>
        </w:rPr>
        <w:t xml:space="preserve">Quelle: </w:t>
      </w:r>
      <w:r>
        <w:t>https://mcp.opencaselaw.ch/entscheid/bvger_E-7445_2009</w:t>
      </w:r>
    </w:p>
    <w:p>
      <w:r>
        <w:t>FR: TAF E-7445/2009 du 27 mars 2012</w:t>
      </w:r>
    </w:p>
    <w:p>
      <w:r>
        <w:t>IT: TAF E-7445/2009 del 27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 Verfolgung der oben beschriebenen Art ist asylbeachtlich, wenn sie vom Staat ausgeht; nichtstaatliche Verfolgung ist dagegen nur dann asylbeachtlich, wenn der Staat zur Verfolgung anregt, sie sich in anderer Weise zurechnen lassen muss oder wenn er weder gewillt noch in der Lage ist, vor Verfolgung ausreichend Schutz zu bieten.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5.Das BFM führt zur Begründung seines Entscheides an, die Vorbringen des Beschwerdeführers beträfen Übergriffe Dritter, welche lediglich dann asylrelevant seien, wenn der Staat seiner Schutzpflicht nicht nachkomme oder nicht in der Lage sei, Schutz zu gewähren. Dem BFM sei zwar bekannt, dass vereinzelte schwerwiegende Übergriffe auf ethnische Minderheiten, insbesondere Serben, stattgefunden hätten, jedoch sei nicht von allgemeinen Vertreibungen auszugehen. Nach der Unabhängigkeitserklärung vom 17. Februar 2008 sei im Kosovo weiterhin eine internationale zivile als auch militärische Präsenz vorgesehen. Die UNO-Verwaltung (UNMIK) soll sukzessive von der EU-Mission (EULEX) abgelöst werden. Internationale Sicherheitskräfte sowie der Kosovo Police Service (KPS) garantierten die Sicherheit. Auch in den serbischen Siedlungsgebieten garantierten internationale Sicherheitskräfte sowie teilweise serbische Angehörige der KPS die Sicherheit. Die Verfassung des Kosovo, die am 15. Juni 2008 in Kraft getreten sei, garantiere den ethnischen Minderheiten umfassende Rechte. Die internationalen Sicherheitskräfte sowie die KPS seien in der Lage, die ethnischen Minderheiten zu schützen. Ihre Präsenz sei sichtbar und flächendeckend. Strafgerichtsbarkeit sowie Strafvollzug funktionierten grösstenteils. Bei Übergriffen reagierten die Sicherheitskräfte regelmässig und Straftaten gegen Angehörige von Minderheiten würden geahndet. Vom Schutzwillen und der weitgehenden Schutzfähigkeit der Sicherheitskräfte sei daher auszugehen. Vor diesem Hintergrund vermöge das Vorbringen des Beschwerdeführers, wonach die Polizei nichts unternehme, nicht zu überzeugen. Im Gegenteil sei der Beschwerdeführer gemäss eigenen Angaben zum Vorfall im Wald von der Polizei befragt worden, die ihm versichert habe, sich um die Angelegenheit zu kümmern. Im Hinblick auf die jüngsten Drohungen habe er es unterlassen, den Schutz der zuständigen Behörden in Anspruch zu nehmen, und es stattdessen vorgezogen, den Kosovo zu verlassen. Damit habe er dem Staat keine Möglichkeit gegeben, seinem Schutzwillen und seiner Schutzpflicht nachzukommen. Da aber mit dem überwiegend serbisch besiedelten Norden des Kosovo eine innerstaatliche Fluchtalternative bestehe, erübrige sich eine weitergehende Auseinandersetzung mit der Frage, ob Serben im Süden des Landes einer asylrelevanten Gefährdung ausgesetzt seien. 6.Das Gericht teilt die Auffassung der Vorinstanz, dass die zuständigen Sicherheitskräfte am Herkunftsort des Beschwerdeführers sowohl schutzwillig als auch schutzfähig sind (vgl. dazu auch das Urteil des Bundesverwaltungsgericht E-4139/2009 vom 6. März 2012 E. 6.1. und 6.2.) und dass der Beschwerdeführer selber das Verhalten schutzwilliger Behörden beschrieben und er bezüglich der jüngsten Drohungen den zuständigen Behörden gar nicht die Gelegenheit gegeben hat, ihrer Schutzaufgabe nachzukommen. Diesbezüglich ist auf die zutreffenden Ausführungen des BFM zu verweisen. An dieser Einschätzung vermögen mit Blick auf die Praxis des Bundesverwaltungsgerichts auch die allgemeinen Ausführungen des Beschwerdeführers zur Lage im Kosovo und die entsprechenden Beweismittel nichts zu ändern. Damit halten die Vorbringen des Beschwerdeführers, wie das BFM zu Recht festgestellt hat, den Anforderungen an die Flüchtlingseigenschaft gemäss Art. 3 AsylG nicht stand. Das BFM hat das Asylgesuch zu Recht abgewiesen. Ob das BFM zu Recht festgestellt hat, dass mit dem Norden des Kosovo eine innerstaatliche Fluchtalternative bestehe, kann somit offengelassen werden. 7.Lehnt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Das BFM führte diesbezüglich aus, weder die im Heimatstaat herrschende politische Situation noch andere Gründe sprächen gegen die Zumutbarkeit der Rückführung dorthin. In Kosovo habe sich die Sicherheitslage in den vergangenen Jahren verbessert oder zumindest stabilisiert. Die Wahrscheinlichkeit einer konkreten Gefährdung könne jedoch für Serben, zu deren Ethnie der Beschwerdeführer gehöre, ausserhalb ihrer Enklaven weiterhin nicht ausgeschlossen werden. Eine Rückkehr nach Kosovo werde demnach in der Regel als unzumutbar erachtet. Eine Ausnahme bilde der Norden Kosovos. Für Serben mit letztem Wohnsitz im Norden Kosovos sei die Rückkehr dorthin zumutbar. Der Beschwerdeführer stamme aus Gnjilane, wo eine konkrete Gefährdung aufgrund der ethnischen Zugehörigkeit noch nicht ausgeschlossen werden könne. Es bestehe jedoch für ihn im Norden Kosovos eine innerstaatliche Aufenthaltsalternative. Es könne davon ausgegangen werden, dass es ihm möglich sein werde, sich allenfalls im Norden Kosovos eine Existenzgrundlage aufzubauen. Der Vollzug der Wegweisung in den Norden Kosovos sei demnach in der Regel als zumutbar zu erachten. Überdies bestehe für Serben aus dem Kosovo grundsätzlich eine Aufenthaltsalternative in Serbien. Gemäss serbischer Verfassung von 2006 sei Kosovo nämlich integraler Bestandteil Serbiens, weshalb Serben aus dem Kosovo auch nach der Unabhängigkeit als serbische Staatsangehörige betrachtet würden und auf den diplomatischen Vertretungen in der Schweiz serbische Reisepapiere erhielten, mit denen sie nach Serbien einreisen könnten. Beim Beschwerdeführer handle es sich um einen gesunden, jungen Mann mit einer guten Schulbildung und Arbeitserfahrung. Die Inanspruchnahme der Aufenthaltsalternative in Serbien, wo er der Mehrheitsethnie angehöre und über Verwandte verfüge, sei somit ebenfalls zumutbar. Vom Beschwerdeführer könne somit erwartet werden, dass er sich entweder im Norden Kosovos oder in Serbien um den Aufbau einer neuen Existenz bemühe, zumal die Voraussetzungen hierfür auf Grund des Gesagten nicht von vornherein aussichtslos erschienen. Rein soziale und wirtschaftliche Schwierigkeiten, von welchen die ansässige Bevölkerung betroffen sei, stellten im Übrigen keine existenzbedrohende Situation dar, welche den Wegweisungsvollzug des Beschwerdeführers in den Norden Kosovos oder nach Serbien als unzumutbar erscheinen liessen.</w:t>
      </w:r>
    </w:p>
    <w:p>
      <w:r>
        <w:rPr>
          <w:b/>
        </w:rPr>
        <w:t>E. 8.4</w:t>
      </w:r>
    </w:p>
    <w:p>
      <w:r>
        <w:t>Der Beschwerdeführer ist auf Grund der Aktenlage einerseits als Staatsangehöriger der Republik Kosovo zu betrachten, anderseits verfügt er infolge seiner serbischen Abstammung und seiner Geburt auf (ehemaligem) Staatsgebiet der Republik Serbien gemäss dem serbischen Gesetz über die Staatsbürger­schaft Nr. 135/04 vom 21. Dezember 2004 auch über die serbische Staatsangehörigkeit (vgl. BVGE 2010/41 E. 6.4.2). Zu prüfen ist daher die Zumutbarkeit einer Wohnsitzalternative in Serbien. In BVGE 2010/41 E. 8.3.3. hat sich das Bundesverwaltungsgericht eingehend mit der Frage auseinandergesetzt, unter welchen Voraussetzungen der Wegweisungsvollzug nach Serbien für Kosovo-Serben zumutbar ist. In E. 8.3.3.6 hat es die dabei massgeblichen Kriterien festgelegt, nämlich Sicherung des Existenzminimums ("l'assurance d'un minimum vital sur le plan économique"), Bezug zu Serbien und soziale Integration (persönliche Umstände wie Geschlecht, Alter, Zivilstrand oder Gesundheit). Gemäss den Akten handelt es sich beim Beschwerdeführer um einen gesunden jungen alleinstehenden Man mit solider Schulbildung (acht Jahre Grundschule und vier Jahre Gymnasium), der über mehrjährige Berufserfahrung sowohl als (...) als auch (...)verfügt. Zwar hat er nach eigenen Angaben zu keiner Zeit in Serbien gewohnt oder gearbeitet; er verfügt aber über Angehörige ([...]) in Serbien (vgl. A 8, S. 3), um deren Unterstützung er sich bemühen könnte. In der Gesamtwürdigung scheint er die persönlichen Voraussetzungen für eine erfolgreiche wirtschaftliche und soziale Integration in Serbien optimal zu erfüllen. Dem BFM ist darin zuzustimmen, dass von ihm erwartet werden kann, die entsprechenden Schritte zum Aufbau einer Existenz in Serbien zu unternehmen. Sollte er dabei der finanziellen Unterstützung bedürfen, kann er sich an seine Angehörigen oder an die dafür zuständigen sozialen Einrichtungen in Serbien wenden. An dieser Stelle ist zudem auf das Rückkehrhilfeprogramm der Schweiz zu verweisen (vgl. Art. 62 ff. der Asylverordnung 2 über Finanzierungsfragen vom 11. August 1999 [AsylV 2, SR 142.312), von welchem die Beschwerdeführer profitieren könnten. Nach dem Gesagten erweist sich der Vollzug der Wegweisung auch als zumutbar. Die Frage, ob das BFM den Wegweisungsvollzug in den Norden des Kosovo zu Recht für zumutbar befunden hat, kann demnach offengelassen werden.</w:t>
      </w:r>
    </w:p>
    <w:p>
      <w:r>
        <w:rPr>
          <w:b/>
        </w:rPr>
        <w:t>E. 8.5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 9.Aus diesen Erwägungen ergibt sich, dass die angefochtene Verfügung Bundesrecht nicht verletzt, den rechtserheblichen Sachverhalt richtig und vollständig feststellt und angemessen ist (Art. 106 AsylG). Die Beschwerde ist nach dem Gesagten abzuweisen. 10.Die Bedürftigkeit des Beschwerdeführers im Sinne von Art. 65 Abs. 1 VwVG wird durch die eingereichte Fürsorgebestätigung belegt. Die in der Beschwerde formulierten Begehren erschienen zum Zeitpunkt der Beschwerdeerhebung auf Grund der damals ungewissen Lage im Kosovo und in Serbien nicht aussichtslos. Deshalb ist das Gesuch um Gewährung der unentgeltlichen Rechtspflege gemäss Art. 65 Abs. 1 VwVG gutzuheissen. Dem Beschwerdeführer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