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E-7441/2008 vom 1. Juli 2011</w:t>
      </w:r>
    </w:p>
    <w:p>
      <w:r>
        <w:t>Bundesverwaltungsgericht, 2011-07-01, DE</w:t>
      </w:r>
    </w:p>
    <w:p>
      <w:r>
        <w:rPr>
          <w:b/>
        </w:rPr>
        <w:t xml:space="preserve">Quelle: </w:t>
      </w:r>
      <w:r>
        <w:t>https://mcp.opencaselaw.ch/entscheid/bvger_E-7441_2008</w:t>
      </w:r>
    </w:p>
    <w:p>
      <w:r>
        <w:t>FR: TAF E-7441/2008 du 1 juillet 2011</w:t>
      </w:r>
    </w:p>
    <w:p>
      <w:r>
        <w:t>IT: TAF E-7441/2008 del 1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108 AsylG sowie Art. 105 AsylG i.V.m. Art. 37 VGG und Art. 48 Abs. 1 VwVG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253 und die Entscheidungen und Mitteilungen der Schweizerischen Asylrekurskommission [EMARK] 1995 Nr. 7 E. 7b und 8 S. 67 ff.; EMARK 2000 Nr. 16 E. 5a S. 141 f., mit weiteren Hinweisen).</w:t>
      </w:r>
    </w:p>
    <w:p>
      <w:r>
        <w:rPr>
          <w:b/>
        </w:rPr>
        <w:t>E. 4.1</w:t>
      </w:r>
    </w:p>
    <w:p>
      <w:r>
        <w:t>Die Beschwerdeführenden machten in ihrer Eingabe geltend, die exilpolitischen und religiösen Aktivitäten seien geeignet, eine asylrelevante Verfolgung herbeizuführen. Darüber hinaus sei festzuhalten, dass von der Vorinstanz nicht bestritten werde, dass sie sich in der Schweiz exilpolitisch betätigt hätten. Ebenfalls habe die Vorinstanz ihre religiösen und missionarischen Aktivitäten beinahe ungewürdigt gelassen, indem sie in ihrer Verfügung lediglich festgestellt habe, es sei nicht davon auszugehen, dass die iranischen Behörden Kenntnis hätten vom missionarischen und religiösen Engagement der Beschwerdeführenden in der Schweiz.</w:t>
      </w:r>
    </w:p>
    <w:p>
      <w:r>
        <w:rPr>
          <w:b/>
        </w:rPr>
        <w:t>E. 4.2</w:t>
      </w:r>
    </w:p>
    <w:p>
      <w:r>
        <w:t>Festzuhalten ist vorweg, dass im vorliegenden Verfahren im Wesentlichen dieselben subjektiven Nachfluchtgründe wie bereits im ersten Asylverfahren geltend gemacht werden. Mit rechtskräftigem Urteil E-4618/2006 vom 28. August 2007 wurde festgestellt, dass weder die religiösen noch die politischen Aktivitäten für die DVF eine Furcht vor Verfolgung im Iran als begründet erscheinen liessen (vgl. Bst. A.c. hiervor). Insofern stützen sich die Beschwerdeführenden im Rahmen des zweiten Asylverfahrens respektive der Beschwerde auf einen mindestens teilweise bereits abschliessend beurteilten Sachverhalt ab, mithin kann dieser nicht Gegenstand einer erneuten Beurteilung im Rahmen des vorliegenden Verfahrens bilden (res iudicata; Fritz Gygi, Bundesverwaltungsrechtspflege, 2. Aufl., Bern 1983, S. 322 f.; Alfred Kölz/Isabelle Häner, Verwaltungsverfahren und Verwaltungsrechtspflege des Bundes, 2. Aufl., Zürich 1998, S. Rz. 715). Im Folgenden ist somit einzig zu prüfen, ob die Beschwerdeführenden durch ihr Verhalten nach dem ergangenen Urteil des Bundesverwaltungsgerichts Gründe geschaffen haben, welche zum heutigen Zeitpunkt auf begründete Furcht auf Verfolgung schliessen lassen müssten.</w:t>
      </w:r>
    </w:p>
    <w:p>
      <w:r>
        <w:rPr>
          <w:b/>
        </w:rPr>
        <w:t>E. 4.3</w:t>
      </w:r>
    </w:p>
    <w:p>
      <w:r>
        <w:t>Zur Begründung ihres ablehnenden Entscheides vom 16. Oktober 2008 führte die Vorinstanz im Wesentlichen aus, dass die Aktivitäten der Beschwerdeführenden wie die regelmässige Teilnahme an Kundgebungen, die Anwerbung neuer Mitglieder sowie die Moderation von Radiosendungen beim "H._______" I._______ keine konkrete Gefährdung im Falle einer Rückkehr in den Iran zu begründen vermöchten. Ihr Verhalten in der Schweiz sei insgesamt betrachtet nicht geeignet, ein ernsthaftes Vorgehen der iranischen Behörden zu bewirken, zumal keine Anhaltspunkte für die Annahme bestünden, im Iran wären gegen sie aufgrund der geltend gemachten Aktivitäten behördliche Massnahmen eingeleitet worden. Es sei davon auszugehen, dass die Beschwerdeführenden über kein Profil verfügen, welches sie bei der Rückkehr in den Iran einer konkreten Gefährdung aussetzen würde.</w:t>
      </w:r>
    </w:p>
    <w:p>
      <w:r>
        <w:rPr>
          <w:b/>
        </w:rPr>
        <w:t>E. 4.4</w:t>
      </w:r>
    </w:p>
    <w:p>
      <w:r>
        <w:t>Mit Bezug auf den Iran ist in genereller Hinsicht festzuhalten, dass durch die Neufassung des iranischen Strafrechts vom 9. Juli 1996 die politische Betätigung für staatsfeindliche Organisationen im Ausland unter Strafe gestellt wurde (Art. 498-500). Die iranischen Behörden überwachen die politischen Aktivitäten ihrer Staatsangehörigen im Ausland, wobei davon auszugehen ist, dass sie sich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w:t>
      </w:r>
    </w:p>
    <w:p>
      <w:r>
        <w:rPr>
          <w:b/>
        </w:rPr>
        <w:t>E. 4.5</w:t>
      </w:r>
    </w:p>
    <w:p>
      <w:r>
        <w:t>Die Vorinstanz stellte zu Recht fest, die iranischen Behörden seien sich darüber im Klaren, dass viele exilpolitisch aktive Iraner/-innen an einem Aufenthaltsrecht interessiert sind und sich deshalb politisch betätigen würden. Die Beschwerdeführenden erwähnen in ihrer Eingabe eine umfassende Kontrolle der exilpolitischen Aktivisten durch die iranischen Geheimdienste. Es ist festzuhalten, dass es sich bei den Beschwerdeführenden um ein Paar handelt, welches - wie rechtskräftig feststeht - vor ihrer Ausreise aus dem Iran nicht verfolgt worden, mithin nicht in das Blickfeld iranischer Behörden geraten ist. In der Schweiz lebt zudem eine grosse Anzahl iranischer Asylbewerberinnen und -bewerber, und eine Überwachung jeder einzelnen Person, welche sich bei Demonstrationen oder Radiosendungen aktiv beteiligt, wäre für die iranischen Behörden zu aufwändig und kostspielig. Die Beschwerdeführenden haben im Übrigen selbst dargelegt, dass die DVF sowohl die grösste als auch die aktivste oppositionelle Exilorganisation der Iraner in der Schweiz ist. Es werden jedoch lediglich jene Personen einer solchen Organisation identifiziert und haben im Fall der Rückkehr in den Iran eine Verfolgung zu befürchten, welche aufgrund ihrer Funktion und Exponiertheit als konkrete Bedrohung und Gefahr für das politische System ihres Staates wahrgenommen werden. Mit ihren Teilnahmen an Kundgebungen sowie der Radiomoderation sind diese Erfordernisse nicht erfüllt. Durch ihre Aktivitäten für die DVF vermögen sie mithin keine derartige politischen Profile zu entwickeln, dass die iranischen Behörden in ihnen ernsthafte und in ihrem Wirkungsgrad gefährliche Regimegegner identifizieren könnten. Die Beschwerdeführenden gaben darüber hinaus per E- Mail vom 18. Mai 2011 an, dass sie nicht mehr der DVF angehören würden. Somit ist umso weniger anzunehmen, dass sie bei einer Rückkehr in den Iran wegen exilpolitischer Aktivitäten Furcht vor Verfolgung haben müssten. Daran vermögen die eingereichten Dokumente nichts zu ändern.</w:t>
      </w:r>
    </w:p>
    <w:p>
      <w:r>
        <w:rPr>
          <w:b/>
        </w:rPr>
        <w:t>E. 4.6</w:t>
      </w:r>
    </w:p>
    <w:p>
      <w:r>
        <w:t>Auch was die Konversion der Beschwerdeführenden zum Christentum und die geltend gemachten religiösen Aktivitäten anbelangt, ist - wie bereits unter E. 4.2. erwähnt - vorweg auf die entsprechenden Erwägungen im rechtskräftigen Urteil des Bundesverwaltungsgerichts E- 618/2006 vom 28. August 2007 zu verweisen. Das Bundesverwaltungsgericht hat sich darüber hinaus in BVGE 2009/28 umfassend mit der Situation religiöser Minderheiten und insbesondere der Konvertiten im Iran und im Ausland zum christlichen Glauben befasst, worauf an dieser Stelle verwiesen wird (E. 7.3.4 und 7.3.5) Insbesondere wurde darin betreffend die Konversion im Ausland beziehungsweise in der Schweiz festgehalten, dass eine differenziertere Beurteilung vorzunehmen ist, zumal solche Übertritte nicht selten als eigentliches Mittel zum Erwerb einer sonst nicht erlangbaren Aufenthaltsmöglichkeit im betreffenden Aufenthaltsland instrumentalisiert werden. Diese asyltaktische Handlungsweise der iranischen Staatsbürger im westlichen Ausland sei den iranischen Behörden durchaus bekannt und werde bei der Bewertung des Verhaltens insofern berücksichtigt, als diese Konversion im Falle einer Rückkehr in den Iran nicht zu ernsthaften Nachteilen im Sinne von Art. 3 AsylG führen würde, zumal die diskrete und private Glaubensausübung im Iran auch ausserhalb des Islam grundsätzlich möglich sei. Bei Konversionen im Ausland sei daher - soweit möglich - die christliche Überzeugung eines Asylgesuchstellers im Einzelfall einer näheren Überprüfung zu unterziehen. Mithin vermöge eine christliche Glaubensausübung im Iran dann Massnahmen auszulösen, wenn sie hierzulande aktiv und sichtbar nach aussen praktiziert würden und im Einzelfall davon ausgegangen werden müsse, dass das heimatliche Umfeld von einer solchen aktiven, allenfalls gar missionierende Züge annehmenden Glaubensausübung erfahre. Bei Konversionen im Ausland müsse daher bei der Prüfung im Einzelfall neben der Glaubhaftigkeit der Konversion auch das Ausmass der öffentlichen Bekanntheit für die betroffene Person in Betracht gezogen werden. Es ergeben sich keine Hinweise, wonach die Beschwerdeführenden im Zusammenhang mit ihrer christlichen Gesinnung in der Schweiz in leitender Funktion tätig wären oder sich in besonderer Weise exponiert hätten. Aus den im Rahmen des zweiten Asylverfahrens respektive des Beschwerdeverfahrens eingereichten Dokumenten lassen sich keine Anhaltspunkte für in der Schweiz sichtbar nach aussen gerichtete religiöse Aktivitäten entnehmen. Allein der Besuch von Bibelkursen und die Teilnahme an christlichen Treffen (vgl. die eingereichten Zertifikate vom 20. Juni 2008, die Bestätigungsschreiben der ITB vom 20. Juni 2007 und der FEG J._______ vom 17. November 2008 und vom 28. September 2009) lassen jedenfalls nicht auf eine besondere Exponiertheit schliessen. Von einer konkreten Gefahr, dass die Beschwerdeführenden den iranischen Behörden aufgrund ihrer Konvertierung zum Christentum besonders aufgefallen wären, ist daher nicht auszugehen.</w:t>
      </w:r>
    </w:p>
    <w:p>
      <w:r>
        <w:rPr>
          <w:b/>
        </w:rPr>
        <w:t>E. 4.7</w:t>
      </w:r>
    </w:p>
    <w:p>
      <w:r>
        <w:t>Angesichts der aufgezeigten Sachlage erübrigt es sich, auf die weiteren Ausführungen in der Beschwerde und die eingereichten Beweismittel im Einzelnen einzugehen, da diese nicht geeignet sind, zu einer anderen rechtlichen Beurteilung der Aktenlage zu führen. In Würdigung der gesamten Umstände ist somit festzustellen, dass die Beschwerdeführenden einen flüchtlingsrechtlich bedeutsamen Sachverhalt weder nachgewiesen noch glaubhaft gemacht haben. Die Feststellung des BFM, die Beschwerdeführenden erfüllten die Flüchtlingseigenschaft nicht, ist dementsprechend zu bestätigen. Die Vorinstanz hat demnach die zweiten Asylgesuche der Beschwerdeführenden zu Recht abgelehnt.</w:t>
      </w:r>
    </w:p>
    <w:p>
      <w:r>
        <w:rPr>
          <w:b/>
        </w:rPr>
        <w:t>E. 5.1</w:t>
      </w:r>
    </w:p>
    <w:p>
      <w:r>
        <w:t>Lehnt das Bundesamt das Asylgesuch ab oder tritt es darauf nicht ein, so verfügt es in der Regel die Wegweisung aus der Schweiz und ordnet den Vollzug an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EMARK 2001 Nr. 21). 6.6.1.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6.2.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6.3. Die Vorinstanz wies in der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den Iran lässt den Wegweisungsvollzug zum heutigen Zeitpunkt nicht als unzulässig erscheinen. Nach dem Gesagten ist der Vollzug der Wegweisung sowohl im Sinne der asyl- als auch der völkerrechtlichen Bestimmungen zulässig. 6.4. 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anderen Gefahrenmomenten, wie beispielsweise das Fehlen einer notwendigen medizinischen Behandlung, angenommen werden. 6.5. Vorliegend ist der Vollzug der Wegweisung als zumutbar zu erachten, weil keine Hinweise dafür erkennbar sind, die Beschwerdeführenden wären bei einer Rückkehr in den Iran einer konkreten Gefährdung aufgrund der allgemeinen Lage ausgesetzt. Das Bundesverwaltungsgericht erachtet den Wegweisungsvollzug gestützt auf die allgemeine Lage als generell zumutbar. Es sind unter Verweis auf das rechtskräftige Urteil E-4618/2006 vom 28. August 2007 auch keine individuellen Gründe ersichtlich, die die Rückkehr der Beschwerdeführenden in ihre Heimat als unzumutbar erscheinen lassen würden, zumal sich deren Situation seit Ergehen des besagten Urteils soweit aktenkundig nicht geändert hat. 6.6. Es obliegt schliesslich den Beschwerdeführenden, sich bei der zuständigen Vertretung ihres Heimatstaates die für die Rückkehr notwendigen Reisedokumente zu beschaffen (Art. 8 Abs. 4 AsylG), weshalb der Vollzug der Wegweisung auch als möglich zu bezeichnen ist. 6.7. 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Das mit der Beschwerde gestellte Gesuch um Gewährung der unentgeltlichen Rechtspflege gemäss Art. 65 Abs. 1 VwVG ist gutzuheissen, da die Begehren - wie sich aus den vorliegenden Erwägungen ergibt - nicht als aussichtslos zu bezeichnen waren und aufgrund der Akten von der Bedürftigkeit der Beschwerdeführenden auszugehen ist.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