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E-7437/2016 vom 16. Januar 2017</w:t>
      </w:r>
    </w:p>
    <w:p>
      <w:r>
        <w:t>Bundesverwaltungsgericht, 2017-01-16, FR</w:t>
      </w:r>
    </w:p>
    <w:p>
      <w:r>
        <w:rPr>
          <w:b/>
        </w:rPr>
        <w:t xml:space="preserve">Quelle: </w:t>
      </w:r>
      <w:r>
        <w:t>https://mcp.opencaselaw.ch/entscheid/bvger_E-7437_2016</w:t>
      </w:r>
    </w:p>
    <w:p>
      <w:r>
        <w:t>FR: TAF E-7437/2016 du 16 janvier 2017</w:t>
      </w:r>
    </w:p>
    <w:p>
      <w:r>
        <w:t>IT: TAF E-7437/2016 del 16 gennaio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agir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Comme l'a relevé le SEM, les motifs d'asile allégués par le recourant ne sont pas pertinents au regard de l'art. 3 LAsi.</w:t>
      </w:r>
    </w:p>
    <w:p>
      <w:r>
        <w:rPr>
          <w:b/>
        </w:rPr>
        <w:t>E. 3.1</w:t>
      </w:r>
    </w:p>
    <w:p>
      <w:r>
        <w:t>L'intéressé fait tout d'abord valoir avoir pris part aux manifestations hebdomadaires contre le régime, à Damas. Le Tribunal considère que, même en admettant qu'il y ait effectivement participé, il n'est pas crédible qu'il ait été identifié par les services de sécurité syriens. En effet, le rôle allégué de l'intéressé dans le cadre de ces manifestations est celui d'un simple participant. A ce propos, il a déclaré qu'il ne faisait « que d'être dans la foule » et n'était donc pas impliqué personnellement dans leur organisation. A cela s'ajoute que lorsqu'il aurait été arrêté par les forces de l'ordre le (...), il aurait uniquement été interrogé sur l'identité des manifestants, du fait que son magasin donnait directement sur une rue que ceux-ci auraient régulièrement empruntée. Il n'allègue pas que les autorités syriennes lui auraient reproché d'avoir lui-même manifesté (cf. pv de l'audition sommaire, ch. 7.02 ; pv de l'audition sur les motifs, Q22 ss, spéc. 29 et Q37 ss, spéc. 42). Dans ces conditions, il n'est pas vraisemblable que le recourant ait été identifié par les forces de sécurité syriennes en tant qu'opposant au régime et donc menacé de sanctions déterminantes sous l'angle de l'art. 3 LAsi, suite à sa prétendue participation aux manifestations contre le régime selon la jurisprudence du Tribunal (cf. arrêt D-5779/2013 du 25 février 2015 [publié comme arrêt de référence] consid. 5.7.2 et 5.8).</w:t>
      </w:r>
    </w:p>
    <w:p>
      <w:r>
        <w:rPr>
          <w:b/>
        </w:rPr>
        <w:t>E. 3.2</w:t>
      </w:r>
    </w:p>
    <w:p>
      <w:r>
        <w:t>Par ailleurs, l'intéressé aurait été détenu durant cinq jours afin d'être interrogé sur l'identité des manifestants passant devant son magasin. Suite au versement d'une caution par sa famille, il aurait été libéré. Force est de constater que le recourant n'aurait pas été arrêté pour l'un des motifs énumérés exhaustivement à l'art. 3 LAsi, mais parce que son magasin avait pignon sur rue et qu'il était à ce titre un observateur privilégié des manifestations (cf. pv de l'audition sommaire, ch. 7.02 ; pv de l'audition sur les motifs, Q22 ss, spéc. 30, 57 et 60). Au demeurant, les privations de liberté ne sont pertinentes que si elles atteignent une certaine intensité, déterminée par la durée et par l'ensemble des circonstances du cas (cf. ATAF 2013/12 consid. 6). Une privation de liberté de quelques jours, comme en l'espèce, qui ne s'accompagne pas de maltraitances, n'atteint en principe pas le degré d'intensité requis (Jurisprudence et informations de la Commission suisse de recours en matière d'asile [JICRA] 2000/17 consid. 11b p. 158 s.). En outre, l'élément subjectif, soit la crainte d'avoir à subir selon toute vraisemblance et dans un avenir prochain une persécution (cf. supra consid. 2.2), fait également défaut. En effet, le recourant serait retourné, durant une semaine ou un mois, suivant les versions, dans son pays d'origine, deux ans après l'avoir quitté, afin de se faire délivrer une nouvelle carte d'identité (cf. pv de l'audition sommaire, ch. 4.03 ; pv de l'audition sur les motifs, Q37 ss ; mémoire de recours, p. 6, ch. 10). Il n'aurait jamais procédé de la sorte s'il se sentait réellement en danger. L'explication avancée à ce sujet par l'intéressé au stade du recours (cf. mémoire de recours, p. 11), selon laquelle il était indispensable d'obtenir une nouvelle carte d'identité « afin de pouvoir entreprendre des démarches auprès des consulats européens en Turquie et ainsi obtenir un visa humanitaire » n'emporte pas la conviction du Tribunal. En effet, le recourant était toujours en possession de son ancienne carte d'identité, bien que cassée (cf. pv de l'audition sur les motifs, Q35 s.); la carte d'identité de son épouse était restée intacte et les intéressés disposaient d'un livret de famille.</w:t>
      </w:r>
    </w:p>
    <w:p>
      <w:r>
        <w:rPr>
          <w:b/>
        </w:rPr>
        <w:t>E. 3.3</w:t>
      </w:r>
    </w:p>
    <w:p>
      <w:r>
        <w:t>Lors de sa seconde audition, le recourant a également fait valoir avoir rencontré des problèmes avec les Apochis (terme désignant les Unités de protection du peuple [en kurde : Yekîneyên Parastina Gel, ci-après : YPG], soit la branche armée du Parti de l'union démocratique [en kurde : Partiya Yekîtiya Demokrat, ci-après : PYD], qui contrôlent le Kurdistan syrien [« Rojava »]), qui lui auraient intimé l'ordre de cesser de transporter des personnes à la frontière avec le Kurdistan irakien (cf. pv de l'audition sur les motifs, Q57 ss). Force est de constater que, hormis cet avertissement oral, l'intéressé n'a pas rencontré de problèmes avec les YPG jusqu'à son départ du pays (cf. pv de l'audition sur les motifs, Q65). De plus, lors de son retour allégué en Syrie en 2015, dans une zone contrôlée par les YPG, l'intéressé aurait pu franchir sans difficultés les différents points de contrôle, grâce à son oncle, qui l'accompagnait (cf. pv de l'audition sur les motifs, Q41). Là encore, jamais l'intéressé n'aurait pris le risque de retourner une semaine voire un mois dans un territoire sous la mainmise des YPG (cf. ATAF 2015/3 consid. 6.7.5.1) s'il s'estimait véritablement menacé.</w:t>
      </w:r>
    </w:p>
    <w:p>
      <w:r>
        <w:rPr>
          <w:b/>
        </w:rPr>
        <w:t>E. 3.4</w:t>
      </w:r>
    </w:p>
    <w:p>
      <w:r>
        <w:t>La convocation fournie par l'intéressé, émanant des YPG et enjoignant chaque citoyen à se présenter au poste militaire dans le canton de sa ville à la date du (...) n'est pas pertinente. En effet, ce document a été distribué près de deux ans après le départ de Syrie de l'intéressé, qui n'était donc à l'évidence pas visé de manière personnelle et ciblée. Au demeurant, le refus de rejoindre les rangs des forces kurdes, dans l'un des « cantons » du Kurdistan syrien, sous contrôle du PYD, n'entraîne pas des conséquences d'une intensité suffisante pour être pertinentes au sens de l'art. 3 LAsi (cf. arrêt D-5329/2014 du 23 juin 2015 consid. 5.3, publié comme arrêt de référence sur le site Internet du Tribunal).</w:t>
      </w:r>
    </w:p>
    <w:p>
      <w:r>
        <w:rPr>
          <w:b/>
        </w:rPr>
        <w:t>E. 3.5</w:t>
      </w:r>
    </w:p>
    <w:p>
      <w:r>
        <w:t>Le recourant a en outre produit une copie de son permis de conduire syrien, délivré en 2010, indiquant notamment qu'il a le statut d'Ajnabi. Ce document est dépourvu de toute pertinence, dès lors qu'en 2011, l'intéressé a obtenu la nationalité syrienne.</w:t>
      </w:r>
    </w:p>
    <w:p>
      <w:r>
        <w:rPr>
          <w:b/>
        </w:rPr>
        <w:t>E. 3.6</w:t>
      </w:r>
    </w:p>
    <w:p>
      <w:r>
        <w:t>Enfin, l'état de santé de C._______ n'est pas pertinent au regard de l'art. 3 LAsi.</w:t>
      </w:r>
    </w:p>
    <w:p>
      <w:r>
        <w:rPr>
          <w:b/>
        </w:rPr>
        <w:t>E. 3.7</w:t>
      </w:r>
    </w:p>
    <w:p>
      <w:r>
        <w:t>Au vu de ce qui précède, c'est à bon droit que le SEM a refusé de reconnaître la qualité de réfugié aux recourants et a rejeté leur demande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(ATAF 2014/28 consid. 9 ; 2013/37 consid. 4.4 ; 2009/50 consid. 9).</w:t>
      </w:r>
    </w:p>
    <w:p>
      <w:r>
        <w:rPr>
          <w:b/>
        </w:rPr>
        <w:t>E. 4.2</w:t>
      </w:r>
    </w:p>
    <w:p>
      <w:r>
        <w:t>Aucune exception à la règle générale du renvoi n'étant en l'occurrence réalisée, le Tribunal est tenu, de par la loi, de confirmer cette mesure.</w:t>
      </w:r>
    </w:p>
    <w:p>
      <w:r>
        <w:rPr>
          <w:b/>
        </w:rPr>
        <w:t>E. 5</w:t>
      </w:r>
    </w:p>
    <w:p>
      <w:r>
        <w:t>Par conséquent, le recours doit être rejeté et la décision attaquée confirmée.</w:t>
      </w:r>
    </w:p>
    <w:p>
      <w:r>
        <w:rPr>
          <w:b/>
        </w:rPr>
        <w:t>E. 6</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LAsi).</w:t>
      </w:r>
    </w:p>
    <w:p>
      <w:r>
        <w:rPr>
          <w:b/>
        </w:rPr>
        <w:t>E. 7.1</w:t>
      </w:r>
    </w:p>
    <w:p>
      <w:r>
        <w:t>Les conclusions du recours étant d'emblée vouées à l'échec, la requête d'assistance judiciaire partielle est rejetée (cf. art. 65 al. 1 PA),</w:t>
      </w:r>
    </w:p>
    <w:p>
      <w:r>
        <w:rPr>
          <w:b/>
        </w:rPr>
        <w:t>E. 7.2</w:t>
      </w:r>
    </w:p>
    <w:p>
      <w:r>
        <w:t>Au vu de l'issue de la cause, il y a lieu de mettre les frais de procédure à la charge des recourants, conformément à l'art. 63 al. 1 PA ainsi qu'aux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