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E-7436/2018 vom 15. November 2019</w:t>
      </w:r>
    </w:p>
    <w:p>
      <w:r>
        <w:t>Bundesverwaltungsgericht, 2019-11-15, DE</w:t>
      </w:r>
    </w:p>
    <w:p>
      <w:r>
        <w:rPr>
          <w:b/>
        </w:rPr>
        <w:t xml:space="preserve">Quelle: </w:t>
      </w:r>
      <w:r>
        <w:t>https://mcp.opencaselaw.ch/entscheid/bvger_E-7436_2018</w:t>
      </w:r>
    </w:p>
    <w:p>
      <w:r>
        <w:t>FR: TAF E-7436/2018 du 15 novembre 2019</w:t>
      </w:r>
    </w:p>
    <w:p>
      <w:r>
        <w:t>IT: TAF E-7436/2018 del 15 novembre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Vorbringen des Beschwerdeführers seien insgesamt unglaubhaft ausgefallen. Der eigentliche Auslöser für die Ausreise sei der Tod von N. gewesen, welchen der Beschwerdeführer im Jahr 2014 kennengelernt und bei sich versteckt haben wolle. Die Angaben, die er hierzu mache, seien jedoch widersprüchlich, nicht nachvollziehbar und substanzlos ausgefallen. So habe er an der BzP angegeben, N. (...) versteckt zu haben, während er an der Anhörung von (...) gesprochen habe. Auf den Widerspruch hingewiesen, habe er von einer Verwechslung, da er an der BzP angespannt gewesen sei, erzählt (SEM-Akten A4 S. 8; A10 F137, 177-179). Abgesehen von dem Widerspruch seien die Angaben aber auch nicht nachvollziehbar ausgefallen. Es sei nicht ersichtlich, warum sich ein offenbar wichtiges Mitglied der LTTE beim Beschwerdeführer hätte verstecken sollen, obwohl er ihn kaum gekannt habe. Zudem sei nicht verständlich, weshalb eine gesuchte Person, die sich versteckt gehalten habe, vor ihrem eigenen Haus hätte erschossen werden sollen. Der Beschwerdeführer habe erklärt, N. habe sich irgendwann gesagt, man habe ihn nicht mehr gesucht, deshalb könne er nach Hause zurückkehren. Dies sei nicht nachvollziehbar. Weiter habe der Beschwerdeführer angegeben, das CID habe ihn im (...) 2015 zuhause gesucht, weil er N. versteckt habe. Bei der Hausdurchsuchung seien LTTE-Materialien (Flugblätter etc.) vom CID beschlagnahmt worden. Er habe aber keine Erklärung dafür gehabt, dass das CID in den Jahren 2008 und 2013, als er von CID-Beamten aufgesucht und mitgenommen worden sei, nie sein Haus durchsucht habe. Den Umstand, dass er diese Sachen zuhause aufbewahrt haben wolle, rechtfertige er damit, dass er die Flugblätter an Protestkundgebungen habe verteilen wollen, nicht mit einer Hausdurchsuchung gerechnet habe beziehungsweise dass N. die Sachen habe mitnehmen wollen (SEM-Akte A10 F115 ff.). Auf die Bemerkung hin, dass sein Verhalten unüberlegt gewesen sei, habe er angegeben, im Jahr 2013, als das CID ihn mitgenommen habe, seien die Sachen vergraben gewesen und er habe sie erst im Jahr 2014 herausgenommen, als N. bei ihm gewesen sei (SEM-Akte A10 F117 ff.). Damit habe er wiederum widersprüchliche Angaben gemacht. Sodann sei der eingereichte Zeitungsartikel nicht als Beweis zu berücksichtigen. Darin werde der Beschwerdeführer nicht namentlich erwähnt und der Artikel belege nicht, dass er überhaupt etwas mit der darin genannten Person zu tun gehabt habe. Gemäss diesem und weiterer Zeitungsartikel habe N., nachdem er ein Rehabilitationsprogramm durchlaufen habe, als (...) gearbeitet und sei von Unbekannten vor seinem Haus, welches er nach seiner Entlassung vom Staat erhalten habe, erschossen worden. Davon, dass sich N. versteckt gehalten habe, sei den Artikeln nichts zu entnehmen. Damit würden die Zeitungsartikel den Angaben des Beschwerdeführers widersprechen. Das eingereichte Foto des Beschwerdeführers und seines Bruders habe ebenfalls keinen Beweiswert. Er habe zwar angegeben, Marinesoldaten hätten das Foto gemacht, weil seine Familie respektive der Vater Beziehungen zu den LTTE gehabt habe. Zum Zeitpunkt der Aufnahme sei der Vater aber bereits tot gewesen und unzählige weitere Familien seien auf diese Art und Weise fotografiert worden. Auch die eingereichten Todesscheine der Eltern könnten nicht belegen, dass der Beschwerdeführer von den Behörden gesucht werde. Der Todesschein des Vaters bezeuge, dass dieser an (...) verstorben sei. Ausserdem sei nicht nachvollziehbar, weshalb die CID-Beamten ihn, den Beschwerdeführer, hätten gezwungen haben sollen, falsche Angaben über den Tod des Vaters zu machen (SEM-Akte A10 F159), zumal sich die sri-lankische Armee damals im Krieg gegen die LTTE befunden habe. Der Beschwerdeführer versuche um die Dokumente herum eine Verfolgungsgeschichte zu konstruieren. Er habe seine Behauptungen aber nicht mit konkreten Beweismitteln stützen können. Weitere widersprüchliche Angaben zeigten, dass seine Asylvorbringen konstruiert seien (vgl. SEM-Akten A4 S. 6 und A10 F45 ff.). Wenn der eigentliche Ausreisegrund, die Verfolgung durch die Behörden wegen Beherbergung eines LTTE-Mannes, als unglaubhaft ausgeklammert werde, blieben die behaupteten zwei Festnahmen in den Jahren 2008 und 2013, über welche er ebenfalls widersprüchliche Angaben mache. Die zweite Haft habe (...) gedauert (SEM-Akten A4 S. 8; A10 F122). Es sei aber zu erwarten, dass er sich an dieses einschneidende Erlebnis besser hätte erinnern können. Dass er wegen Angaben an eine Menschenrechtsvertreterin festgenommen worden sei, habe er zudem an der BzP mit keinem Wort erwähnt (SEM-Akte A10 F97). Insgesamt hielten die Vorbringen des Beschwerdeführers den Anforderungen an die Glaubhaftigkeit gemäss Art. 7 AsylG nicht stand. Der Beschwerdeführer erfülle die Flüchtlingseigenschaft nicht.</w:t>
      </w:r>
    </w:p>
    <w:p>
      <w:r>
        <w:rPr>
          <w:b/>
        </w:rPr>
        <w:t>E. 5.2</w:t>
      </w:r>
    </w:p>
    <w:p>
      <w:r>
        <w:t>Hiergegen brachte der Beschwerdeführer vor, es sei nicht ungewöhnlich, dass sich N. an ihn gewandt habe. N. habe seinen Vater gekannt und es sei einfacher, sich bei flüchtigen Bekannten zu verstecken, als bei Freunden oder Verwandten. Die Tatsache, dass N. vor seinem eigenen Haus erschossen worden sei, lasse nicht darauf schliessen, N. habe sich nicht versteckt. Dieser habe vielmehr seine Sicherheitslage falsch eingeschätzt. Weiter habe er, der Beschwerdeführer, nicht mit der Hausdurchsuchung im (...) 2015 gerechnet und deshalb das LTTE-Material nicht frühzeitig vernichtet. Das spreche aber nicht gegen die Tatsache, dass die Hausdurchsuchung stattgefunden habe und ihm deshalb die Gefährdung bewusstgeworden sei. Er sei naiv gewesen, das widerspreche seiner Gefährdung aber nicht. Sodann habe er bereits an der BzP von dem Statement für die Menschenrechtsaktivistin erzählt. Seine zweite Haft im Jahr 2013 habe er einmal mit (...), einmal mit (...) angegeben, womit kein Widerspruch vorliege. Da das SEM ihn sodann nicht zur Haft befragt habe, liege eine Verletzung des rechtlichen Gehörs vor. Des Weiteren seien seine Angaben bei beiden Befragungen widerspruchsfrei und stimmig ausgefallen. Dies werde durch die der Beschwerde beigelegten Schreiben bestätigt. Die Vorladung des CID vom (...) 2018 zeige zudem, dass die Verfolgung mit der Hausdurchsuchung im (...) 2015 keinen Abschluss gefunden habe. Falls dem CID bekannt sei, dass er N. versteckt habe, müsse er mit einer Bestrafung aus politischen Gründen sowie mit Folter rechnen. Die Furcht vor Folter und Erniedrigung sei intensiv genug, um Art. 3 AsylG zu erfüllen, zumal die Verfolgungsmassnahmen weiterbestehen würden, wie die Vorladung zeige. Eventualiter erfülle er das Gefährdungsprofil jener Personen, die nicht in den Norden Sri Lankas zurückgeschickt werden dürften. Er stamme aus einer LTTE-Familie, sei als Student in einer Jugendorganisation tätig gewesen und habe sich bei Kundgebungen exponiert, insbesondere habe er sich an einer Aktion zugunsten verschwundener Personen beteiligt. Die kurzzeitigen Aktivitäten für die Nach-LTTE-Bewegung genügten, um eine Observation durch das CID zu begründen.</w:t>
      </w:r>
    </w:p>
    <w:p>
      <w:r>
        <w:rPr>
          <w:b/>
        </w:rPr>
        <w:t>E. 6.1</w:t>
      </w:r>
    </w:p>
    <w:p>
      <w:r>
        <w:t>Zur Rüge, das SEM habe den Anspruch auf rechtliches Gehör des Beschwerdeführers verletzt, da er nicht ausreichend zur (...) Haft im Jahr 2013 befragt worden sei, ist festzuhalten, dass dieser Ansicht nicht gefolgt werden kann. Der Beschwerdeführer hat ausreichend Gelegenheit gehabt, sich zu besagter Haft zu äussern (vgl. u.a. SEM-Akten A4 S. 8 f.; A10 F96 f., 122 ff.). Da er diese Haft zudem nicht als Grund für seine Ausreise im Jahr 2015 bezeichnete (SEM-Akte A10 F102, 105 f.), sah sich das SEM zu Recht nicht dazu veranlasst, weitere Angaben dazu einzuholen. Hinzu kommt, dass es der Beschwerdeführer unterlässt, in der Beschwerde ergänzende Angaben zu besagter Haft zu machen. Die formelle Rüge ist unbegründet.</w:t>
      </w:r>
    </w:p>
    <w:p>
      <w:r>
        <w:rPr>
          <w:b/>
        </w:rPr>
        <w:t>E. 6.2</w:t>
      </w:r>
    </w:p>
    <w:p>
      <w:r>
        <w:t>Sodann kommt das Bundesverwaltungsgericht nach Sichtung der Akten zum Schluss, dass die Vorinstanz in ihrem Entscheid überzeugend dargelegt hat, weshalb die Kernvorbringen des Beschwerdeführers (Verstecken eines LTTE-Anhängers, danach Verfolgung durch das CID) den Anforderungen an die Glaubhaftigkeit nicht gerecht werden. Im Wesentlichen kann auf die zutreffenden Erwägungen der Vorinstanz verwiesen werden.</w:t>
      </w:r>
    </w:p>
    <w:p>
      <w:r>
        <w:rPr>
          <w:b/>
        </w:rPr>
        <w:t>E. 6.2.1</w:t>
      </w:r>
    </w:p>
    <w:p>
      <w:r>
        <w:t>Insbesondere vermag der Beschwerdeführer nicht überzeugend darzulegen, dass er im (...) 2014 den LTTE-Mann N., denn er kaum gekannt habe, bei sich versteckt haben will. Einerseits ist nicht verständlich, wieso sich dieser ausgerechnet dem Beschwerdeführer hätte anvertrauen sollen, bloss weil er dessen (...) Jahre zuvor verstorbenen Vater gekannt habe. Andererseits ist davon auszugehen, dass der Beschwerdeführer genau hätte angeben können, wie lange sich dieser bei ihm versteckt gehalten habe. Den Widerspruch - (...) - vermochte der Beschwerdeführer nicht auszuräumen. Sodann wurde N. im (...) 2014 erschossen, wovon der Beschwerdeführer gewusst hat, zumal er sich danach aus Angst vor den Behörden zu einem Freund nach C._______ begeben habe. Es ist nicht nachvollziehbar, weshalb er unter diesen Umständen LTTE-Material bei sich zuhause hätte zurücklassen sollen. Seine unterschiedlichen Erklärungen, er habe dieses an Kundgebungen verteilen wollen, er habe nicht mit einer Hausdurchsuchung gerechnet respektive N. habe das Material mitnehmen wollen, vermögen nicht zu überzeugen. Vielmehr ist davon auszugehen, dass er solches Material versteckt oder vernichtet hätte, bevor er sich von seinem Wohnort entfernt hätte. Sodann konnte der Beschwerdeführer über die angebliche Hausdurchsuchung im (...) 2015 keine substantiierten Angaben machen oder erklären, weshalb das CID ihn plötzlich hätte zuhause aufsuchen sollen, nachdem er bereits seit (...) 2014 nicht mehr dort wohnhaft gewesen sei. Auf den Hinweis, das CID habe nicht wissen können, dass er N. versteckt habe, gab der Beschwerdeführer lediglich an, jemand müsse ihn verraten haben (SEM-Akte A10 F147). Auch vermochte er nicht zu erklären, weshalb eine Hausdurchsuchung hätte vorgenommen werden sollen, nachdem man ihn in den Jahren zuvor zweimal mitgenommen und befragt, jedoch nie das Haus durchsucht habe. Insgesamt kann dem Beschwerdeführer somit nicht geglaubt werden, N. versteckt zu haben, mit LTTE-Material in Verbindung gebracht und deswegen vom CID verfolgt zu werden.</w:t>
      </w:r>
    </w:p>
    <w:p>
      <w:r>
        <w:rPr>
          <w:b/>
        </w:rPr>
        <w:t>E. 6.2.2</w:t>
      </w:r>
    </w:p>
    <w:p>
      <w:r>
        <w:t>Daran vermögen die eingereichten Beweismittel nichts zu ändern. Das Gericht schliesst sich der zutreffenden vorinstanzlichen Würdigung der beim SEM eingereichten Beweismittel an. Zu den auf Beschwerdeebene eingereichten Dokumenten ist folgendes festzuhalten: Die Schreiben von Bekannten des Beschwerdeführers sind als Gefälligkeitsschreiben ohne relevanten Beweiswert zu qualifizieren. Sodann vermag der Beschwerdeführer nicht zu erklären, weshalb er, nachdem er gemäss Angaben der Tante im Jahr 2016 zuletzt vom CID gesucht worden sei, plötzlich eine Vorladung des Terrorist Investigation Department (TID) vom (...) 2018 hätte erhalten sollen. Entgegen den Angaben in der Beschwerdeschrift und im Schreiben seiner Tante stammt das eingereichte Beweismittel nicht vom CID und vermag daher auch nicht darzulegen, dass der Beschwerdeführer eine Verfolgung durch das CID zu befürchten hätte. Fraglich ist sodann, weshalb die Vorladung von Colombo nach Kilinochchi hätte gehen sollen, zumal der Beschwerdeführer in B._______ (fast 100km entfernt) wohnhaft gewesen sei. Ebenfalls legt der Beschwerdeführer nicht dar, wem diese Vorladung zugestellt worden sei, woher er diese erhalten habe oder wieso er diese nicht bereits im erstinstanzlichen Verfahren vorgelegt oder zumindest erwähnt habe. Insgesamt bestehen an der Echtheit dieses Beweismittels erhebliche Zweifel. Schliesslich vermag der Beschwerdeführer, nachdem ihm die Hausdurchsuchung und Beschlagnahmung von LTTE-Material durch das CID nicht geglaubt werden können, aus dem eingereichten Zeitungsbericht vom Mai 2019, gemäss welchem der Präsident eines Studentenvereins wegen Besitz eines Fotos des LTTE-Führers verhaftet worden sei, nichts zu seinen Gunsten abzuleiten.</w:t>
      </w:r>
    </w:p>
    <w:p>
      <w:r>
        <w:rPr>
          <w:b/>
        </w:rPr>
        <w:t>E. 6.2.3</w:t>
      </w:r>
    </w:p>
    <w:p>
      <w:r>
        <w:t>Auf die zusätzlichen Vorbringen des Beschwerdeführers ([...] Haft im Jahr 2008 und [...] Haft im Jahr 2013) ist nicht weiter einzugehen, zumal diese als die Ausreise ins Ausland im Jahr 2015 nicht direkt beeinflussende Vorkommnisse zu werten sind. Die Zuerkennung der Flüchtlingseigenschaft würde voraussetzen, dass zwischen Verfolgung und Flucht in zeitlicher und sachlicher Hinsicht ein genügend enger Kausalzusammenhang besteht. Gemäss Angaben des Beschwerdeführers haben ihn diese zwei Ereignisse nicht zur Ausreise bewogen und keine weiteren Konsequenzen nach sich gezogen. Mangels eines relevanten Kausalzusammenhangs erweisen sich die Vorbringen - unabhängig davon, ob diese als glaubhaft eingestuft werden oder nicht - als nicht asylrelevant.</w:t>
      </w:r>
    </w:p>
    <w:p>
      <w:r>
        <w:rPr>
          <w:b/>
        </w:rPr>
        <w:t>E. 6.2.4</w:t>
      </w:r>
    </w:p>
    <w:p>
      <w:r>
        <w:t>Zusammenfassend ist es dem Beschwerdeführer somit nicht gelungen, glaubhaft darzulegen, dass ihm eine asylrelevante Verfolgung seitens der sri-lankischen Behörden drohe.</w:t>
      </w:r>
    </w:p>
    <w:p>
      <w:r>
        <w:rPr>
          <w:b/>
        </w:rPr>
        <w:t>E. 6.3</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Im vorliegenden Fall sind - entgegen der Ansicht des Beschwerdeführers - keine Gründe im Sinne der obgenannten Rechtsprechung ersichtlich, wonach er bei einer Rückkehr nach Sri Lanka in den Fokus der Behörden geraten sei und verfolgt werden könnte. Zwar macht er geltend, sein Vater sei vor dessen Tod im Jahr (...) ein LTTE-Mitglied gewesen und sein Bruder habe sich im Jahr (...) den LTTE angeschlossen. Die Konsequenzen deswegen beschränkten sich aber - sofern diese geglaubt werden können - auf zwei kurzzeitige Inhaftierungen und Befragungen des Beschwerdeführers durch das CID in den Jahren 2008 und 2013. Weitere Behelligungen hat er nicht geltend gemacht. Er selbst sei sodann kein Mitglied der LTTE, lediglich eines Studentenvereins im Jahr 2008 gewesen (SEM-Akte A10 F99-101). Es ist somit nicht davon auszugehen, dass dem Beschwerdeführer Verbindungen zu den LTTE vorgeworfen werden, welche im Zusammenhang mit dem Wiedererstarken der Organisation zu sehen wären. Daran vermögen die in der Beschwerdeschrift unstubstantiiert und oberflächlich angeführten Aktivitäten für die tamilische Nach-LTTE-Bewegung nichts zu ändern. Die Zugehörigkeit zur tamilischen Ethnie und die Landesabwesenheit vermögen sodann nicht zu einer Gefährdung im Sinne von Art. 3 AsylG bei einer Rückkehr nach Sri Lanka zu führen. Weitere Hinweise auf risikobegründende Faktoren im Sinne der obgenannten Rechtsprechung sind nicht ersichtlich. Entsprechend besteht kein Anlass zur Annahme, der Beschwerdeführer hätte im Falle einer Rückkehr in sein Heimatland Massnahmen zu befürchten, welche über eine einfache Kontrolle hinausgehen, und könnte wegen seines Profils von den Behörden als Bedrohung wahrgenommen werden (vgl. a.a.O., E. 8.5.1).</w:t>
      </w:r>
    </w:p>
    <w:p>
      <w:r>
        <w:rPr>
          <w:b/>
        </w:rPr>
        <w:t>E. 6.4</w:t>
      </w:r>
    </w:p>
    <w:p>
      <w:r>
        <w:t>Insgesamt vermag der Beschwerdeführer somit nichts darzulegen, das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u.a. EGMR, R.J. gegen Frankreich, Urteil vom 19. September 2013, Be-schwerde Nr. 10466/11; T.N. gegen Dänemark, Urteil vom 20. Januar 2011, Beschwerde Nr. 20594/08).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oberwähnten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der Erwägung 6.3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Nach dem Gesagten erweist sich der Vollzug der Wegweisung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Beschwerdeführer ist der Auffassung, die politische Lage in Sri Lanka habe sich seit Oktober 2018 verschärft. Hinzu komme die Gefährdung aufgrund seiner kurzen LTTE-Vergangenheit. Ein Wegweisungsvollzug in den Norden Sri Lankas sei daher als unzumutbar einzustufen.</w:t>
      </w:r>
    </w:p>
    <w:p>
      <w:r>
        <w:rPr>
          <w:b/>
        </w:rPr>
        <w:t>E. 8.3.2</w:t>
      </w:r>
    </w:p>
    <w:p>
      <w:r>
        <w:t>Der bewaffnete Konflikt zwischen der sri-lankischen Regierung und den LTTE ist im Mai 2009 zu Ende gegangen, und es herrscht weder Krieg noch eine Situation allgemeiner Gewalt (vgl. BVGE 2011/24 E. 13.2.1). Im Referenzurteil E-1866/2015 ist das Gericht nach einer eingehenden Analyse der Sicherheitslage in Sri Lanka zum Schluss gekommen, dass der Wegweisungsvollzug in den Jaffna-Distrikt grundsätzlich zumutbar ist (vgl. a.a.O. E. 13.2). An dieser Einschätzung vermögen auch die Gewaltvorfälle in Sri Lanka vom 21. April 2019 und der mittlerweile wieder aufgehobene Ausnahmezustand nichts zu ändern.</w:t>
      </w:r>
    </w:p>
    <w:p>
      <w:r>
        <w:rPr>
          <w:b/>
        </w:rPr>
        <w:t>E. 8.3.3</w:t>
      </w:r>
    </w:p>
    <w:p>
      <w:r>
        <w:t>Sodann handelt es sich beim Beschwerdeführer um einen jungen, gesunden Mann mit einem guten Schulabschluss (A-Level) und (...) Berufserfahrung. Mithin ist davon auszugehen, dass er bei einer Rückkehr nach Sri Lanka in der Lage sein wird, sich eine wirtschaftliche Existenz aufzubauen. Ferner verfügt er in B._______, seinem letzten Wohnort in Sri Lanka, über ein eigenes Haus, wohin er zurückkehren kann. Weiter ist anzunehmen, dass ihn sein familiäres Umfeld, insbesondere seine Tante und deren im Ausland lebender Sohn, die ihn bis zur Ausreise unterstützt hätten, falls nötig auch weiterhin unterstützen werden.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14. Januar 2019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