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E-7418/2014 vom 12. Februar 2015</w:t>
      </w:r>
    </w:p>
    <w:p>
      <w:r>
        <w:t>Bundesverwaltungsgericht, 2015-02-12, DE</w:t>
      </w:r>
    </w:p>
    <w:p>
      <w:r>
        <w:rPr>
          <w:b/>
        </w:rPr>
        <w:t xml:space="preserve">Quelle: </w:t>
      </w:r>
      <w:r>
        <w:t>https://mcp.opencaselaw.ch/entscheid/bvger_E-7418_2014</w:t>
      </w:r>
    </w:p>
    <w:p>
      <w:r>
        <w:t>FR: TAF E-7418/2014 du 12 février 2015</w:t>
      </w:r>
    </w:p>
    <w:p>
      <w:r>
        <w:t>IT: TAF E-7418/2014 del 12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gelangt in der angefochtenen Verfügung zum Schluss, die Vorbringen des Beschwerdeführers hielten weder den Anforderungen an die Flüchtlingseigenschaft gemäss Art. 3 AsylG noch denjenigen an das Glaubhaftmachen gemäss Art. 7 AsylG stand. Zu Art. 3 AsylG führt die Vorinstanz aus, die finanziellen Probleme des Beschwerdeführers mit seiner Ehefrau und die daraus resultierenden Schwierigkeiten mit den heimatlichen Behörden seien nicht asylrelevant. Der Beschwerdeführer sei von den iranischen Behörden lediglich zur Einhaltung des Ehevertrages angehalten worden. Den Akten seien keine Hinweise dafür zu entnehmen, dass die gefällten Verfügungen in irgendeiner Weise gegen eine der in Art. 3 AsylG geschützten Eigenschaften gerichtet seien. Namentlich habe sich das Gericht bei der Ausfällung der Strafe am Ehevertrag orientiert und zudem dem Antrag des Beschwerdeführers auf Ratenzahlung entsprochen. Es sei daher davon auszugehen, dass sich der Beschwerdeführer dem Urteil, welches ihn zur Zahlung der hohen Morgengabe verpflichte, aus persönlichen Gründen entziehen wolle. Den Schluss auf Unglaubhaftigkeit der Vorbringen begründet die Vor-instanz damit, dass sich der Beschwerdeführer in wesentlichen Punkten der Asylbegründung nicht nachvollziehbar, unlogisch sowie substantiiert geäussert habe. Namentlich seien Ort und Zeitpunkt des letzten sexuellen Kontaktes nicht nachvollziehbar. Eine Person, die im Iran Ehebrauch begehe und sich der Gefahren dessen bewusst sei, werde sich kaum im Haus der Ehefrau zu sexuellen Kontakten überreden lassen, umso weniger als jederzeit mit der Heimkehr der Ehefrau zu rechnen war. Weiter könne der Beschwerdeführer keine Angaben darüber machen, was seine Ehefrau und der Ehemann seiner Schwägerin unternommen haben sollten, um ihn in Gefahr zu bringen. Weder dem Beschwerdeführer noch seinen Verwandten sei etwas widerfahren. Es sei daher nicht glaubhaft, dass der Ehemann der Schwägerin vom Ehebruch erfahren habe, mithin auch nichts gegen den Beschwerdeführer untergenommen worden sei. Dieser Schluss werde dadurch untermauert, dass in den eingereichten Gerichtsunterlagen, die nach dem angeblichen Auffliegen des Ehebruchs datieren würden, in keiner Weise vom Ehebruch die Rede sei. Wäre der Beschwerdeführer tatsächlich wegen Ehebruchs angezeigt worden, hätte dies entgegen seiner Ansicht Einfluss auf das Schiedsverfahren gehabt, namentlich hätte dies die Position seiner Ehefrau gestärkt. Zudem, wäre tatsächlich Anzeige gegen den Beschwerdeführer wegen Ehebruchs eingereicht worden, hätte er dies wohl zu belegen versucht, dies umso mehr als er im bisherigen Verfahren zahlreiche Beweismittel betreffend das familienrechtliche Verfahren eingereicht habe.</w:t>
      </w:r>
    </w:p>
    <w:p>
      <w:r>
        <w:rPr>
          <w:b/>
        </w:rPr>
        <w:t>E. 4.2</w:t>
      </w:r>
    </w:p>
    <w:p>
      <w:r>
        <w:t>Der Beschwerdeführer äussert sich in der Eingabe zu den vorinstanzlichen Ausführungen, weshalb das staatliche Vorgehen im Zusammenhang mit dem Morgengeld rechtsstaatlich legitim und insoweit nicht asylrelevant ist, nicht. Es ist deshalb darauf nicht weiter einzugehen. Betreffend die als nicht glaubhaft erachteten Vorbringen macht der Beschwerdeführer sinngemäss geltend, die Vorinstanz habe diesbezüglich den Massstab des Glaubhaftmachens nicht richtig angewendet. Die vor-instanzliche Beweiswürdigung ist indes nicht zu beanstanden. In der angefochtenen Verfügung wird im Einzelnen ausführlich dargelegt, aus welchen Gründen der geltend gemachte Ehebruch nicht glaubhaft sei. In der Rechtsmitteleingabe setzt sich der Beschwerdeführer mit den in der angefochtenen Verfügung dargelegten Unstimmigkeiten nicht ansatzweise auseinander. Er beschränkt sich auf das blosse Wiederholen des aktenkundigen Sachverhalts sowie dem Festhalten an dessen Tatsächlichkeit. Damit legt er aber nicht dar, inwiefern die Vorinstanz zu Unrecht auf Unglaubhaftigkeit geschlossen hat. Solches ist auch nicht ersichtlich. Um Wiederholungen zu vermeiden, kann vollumfänglich auf die zutreffenden Erwägungen in der angefochtenen Verfügung verwiesen werden. Der Beschwerdeführer hat somit nichts vorgebracht, das geeignet wäre, die Flüchtlingseigenschaft nachzuweisen oder glaubhaft zu machen. An diesem Schluss vermögen auch die angeblichen Vorladungen nichts zu ändern. Diese Dokumente liegen nur in Kopie vor, mithin kommt ihnen bereits aus diesem Grund lediglich ein beschränkter Beweiswert zu. Zudem legt der Beschwerdeführer nicht dar, wie er in den Besitz dieser Dokumente gekommen ist. Die Vorinstanz hat demnach das Asylgesuch zu Recht abgelehnt.</w:t>
      </w:r>
    </w:p>
    <w:p>
      <w:r>
        <w:rPr>
          <w:b/>
        </w:rPr>
        <w:t>E. 5</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den Iran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Iran herrscht kein Bürgerkrieg und keine Situation allgemeiner Gewalt. Sodann sind den Akten keine Hinweise auf individuelle, in der Person des Beschwerdeführers liegende Vollzugshindernisse wirtschaftlicher, sozialer oder gesundheitlicher Natur zu entnehmen. Um diesbezüglich Wiederholungen zu vermeiden, kann auf die zutreffenden Erwägungen in der angefochtenen Verfügung verwiesen werden. Der Vollzug der Wegweisung ist zumutbar.</w:t>
      </w:r>
    </w:p>
    <w:p>
      <w:r>
        <w:rPr>
          <w:b/>
        </w:rPr>
        <w:t>E. 6.3</w:t>
      </w:r>
    </w:p>
    <w:p>
      <w:r>
        <w:t>Nach Art. 83 Abs. 2 AuG ist der Wegweisungsvollzug schliesslich auch als möglich zu bezeichnen. Es obliegt dem Beschwerdeführer, sich bei der zuständigen iranischen Vertretung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