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E-7414/2010 vom 15. November 2010</w:t>
      </w:r>
    </w:p>
    <w:p>
      <w:r>
        <w:t>Bundesverwaltungsgericht, 2010-11-15, DE</w:t>
      </w:r>
    </w:p>
    <w:p>
      <w:r>
        <w:rPr>
          <w:b/>
        </w:rPr>
        <w:t xml:space="preserve">Quelle: </w:t>
      </w:r>
      <w:r>
        <w:t>https://mcp.opencaselaw.ch/entscheid/bvger_E-7414_2010</w:t>
      </w:r>
    </w:p>
    <w:p>
      <w:r>
        <w:t>FR: TAF E-7414/2010 du 15 novembre 2010</w:t>
      </w:r>
    </w:p>
    <w:p>
      <w:r>
        <w:t>IT: TAF E-7414/2010 del 15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 abgesehen vom sprachlichen Mangel, der indessen von Amtes wegen behoben wurde -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Gericht zum Schluss, dass das Bundesamt die Asylvorbringen des Beschwerdeführers zu Recht und mit zutreffender Begründung als unglaubhaft erachtet hat, zumal seine Ausführungen zu den angeblich erlittenen Behelligungen durch die Al-Shabaab-Miliz überaus oberflächlich und unsubstanziiert ausgefallen sind. Zudem hat der Beschwerdeführer namentlich hinsichtlich der zeitlichen Einordnung widersprüchliche und ungenaue Angaben gemacht. Insgesamt vermögen seine Schilderungen nicht den Eindruck realer Erlebnisse zu vermitteln. Die Ausführungen in der Beschwerdeeingabe, in welcher der Beschwerdeführer im Wesentlichen die Wahrheit seiner anlässlich der Befragungen gemachten Angaben bekräftigt, ohne diese indessen zu präzisieren, sind nicht geeignet, zu einer anderen Einschätzung zu führen. Insbesondere vermag er aus dem Einwand, er sei anlässlich der Kurzbefragung vom 26. September 2010 vom befragenden Beamten bedroht und beschimpft worden und habe deshalb seine früheren Auslandaufenthalte verschwiegen, nichts zu seinen Gunsten abzuleiten, hat er doch auch anlässlich der folgenden Anhörung durch das BFM an seinen nachweislich falschen Angaben zur Reiseroute festgehalten.</w:t>
      </w:r>
    </w:p>
    <w:p>
      <w:r>
        <w:rPr>
          <w:b/>
        </w:rPr>
        <w:t>E. 4.2</w:t>
      </w:r>
    </w:p>
    <w:p>
      <w:r>
        <w:t>Zusammenfassend ist festzuhalten, dass es dem Beschwerdeführer nicht gelungen ist, eine asylrelevante Verfolgungsgefahr im Sinne von Art. 3 AsylG glaubhaft zu machen und damit die Voraussetzungen für die Zuerkennung der Flüchtlingseigenschaft nicht erfüllt sind. Demnach hat die Vorinstanz zu Recht das Asylgesuch des Beschwerdeführers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Somalia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Hinsichtlich der allgemeinen Lage in Somalia kann auf die im Wesentlichen nach wie vor Gültigkeit beanspruchende aktualisierte Lagebeurteilung gemäss EMARK 2006 Nr. 2 verwiesen werden. Auf Grund der chaotischen Lage und der andauernden Gewaltsituation in Zentral- und Süd-Somalia erweist sich ein Wegweisungsvollzug in diese Gebiete weiterhin als generell unzumutbar. Dies gilt somit auch für den aus F._______ stammenden Beschwerdeführer. Demgegenüber kann gemäss E. 7 des erwähnten Entscheides unter gewissen Bedingungen ein Vollzug der Wegweisung nach Somaliland und Puntland erfolgen. Dazu ist erforderlich, dass die betroffene Person enge Verbindungen zur Region hat, sich dort eine Existenzgrundlage aufbauen kann oder mit wirkungsvoller Unterstützung eines Familienclans rechnen darf. Allein die Zugehörigkeit zu einem in der Region ansässigen Hauptclan lässt den Wegweisungsvollzug jedoch nicht als zumutbar erscheinen. Das Urteil betont das Erfordernis einer Einzelfallbeurteilung, welche nach Massgabe individueller Kriterien wie Alter, Geschlecht, Gesundheitszustand, Clanzugehörigkeit und entsprechende Protektionsaussichten, Herkunftsort, familiäre und verwandtschaftliche Situation sowie sozioökonomische Perspektiven vorzunehmen ist. Auch in neusten Berichten zur Lage in Somalia wird festgestellt, dass Menschen aus minoritären oder nicht ansässigen Clans in Somaliland und Puntland kaum - weder durch formelle noch informelle Rechtsmittel - Schutz geniessen und oft Opfer von gravierenden Menschenrechtsverletzungen sind. Das UNHCR gelangt deshalb zum Schluss, dass für Personen aus Süd- und Zentralsomalia generell keine innerstaatliche Aufenthaltsalternative in Puntland und Somaliland bestehe. Ausnahmen sollten nur nach eingehenden Abklärungen jedes Einzelfalls in Betracht gezogen werden (vgl. UNHCR, Eligibility Guidelines for Assessing the International Protection Needs of Asylum-Seekers from Somalia, 5. Mai 2010, S. 34f.; PETER K. MEYER, Schweizerische Flüchtlingshilfe [SFH], Somalia, Update, Aktuelle Entwicklungen [Januar 2009 bis Juli 2010], 4. August 2010, S. 25). Die Einschätzung der allgemeinen Lage in Somaliland und Puntland in der angefochtenen Verfügung der Vorinstanz kann somit nicht geteilt werden.</w:t>
      </w:r>
    </w:p>
    <w:p>
      <w:r>
        <w:rPr>
          <w:b/>
        </w:rPr>
        <w:t>E. 6.6</w:t>
      </w:r>
    </w:p>
    <w:p>
      <w:r>
        <w:t>Der Beschwerdeführer gehört nach seinen Angaben der Clan-Familie C._______, Clan D._______, Subclan E._______ an, welche im südlichen und zentralen Teil Somalias beheimatet ist. Den vorliegenden Akten sind keine konkreten Hinweise dafür zu entnehmen, dass er im Norden Somalias (Somaliland oder Puntland) über ein soziales Netz oder über sonstige besondere Anknüpfungspunkte zu den dort herrschenden Clans verfügen würde. Das BFM hat hinsichtlich der individuellen Situation des Beschwerdeführers auf seine gute finanzielle Lage und lange Arbeitserfahrung verwiesen, welche es ihm erlauben würden, seinen Lebensunterhalt zu sichern. Damit hat sich die Vorinstanz nicht in der gemäss Praxis des Bundesverwaltungsgericht erforderlichen Einlässlichkeit mit der individuellen Situation des Beschwerdeführers auseinandergesetzt. Insbesondere wurde unterlassen, abzuklären, ob der Beschwerdeführer über ein soziales Netz oder sonstige Bezugspunkte im Norden verfügt, sowie ob er in Anbetracht seiner Clan-Zugehörigkeit mit der Schutzgewährung durch einen der einheimischen Clans in Somaliland oder Puntland zählen könnte. Es muss bezweifelt werden, ob es ihm - ohne entsprechende Protektion - möglich wäre, eine existenzsichernde Geschäftstätigkeit in diesen Landesteilen Somalias aufzunehmen. Im Übrigen kann auch der Argumentation des BFM, es stehe dem Beschwerdeführer frei, sich in einem Drittstaat, namentlich Kenia, aufzuhalten, ohne weitere Abklärungen nicht gefolgt werden. Zwar kann den Ausführungen des Beschwerdeführers anlässlich der Befragungen entnommen werden, dass er sich in der Vergangenheit mehrmals kurzzeitig in Kenia sowie in anderen Drittstaaten, vorwiegend zu geschäftlichen Zwecken, aufgehalten hat und dass seine Familienangehörigen nach Kenia geflüchtet seien (Protokoll BFM-Anhörung, S. 5f. und S. 9). Es liegen aber keine konkreten Hinweise dafür vor, dass er in einem Drittstaat über einen rechtmässigen Aufenthaltstitel verfügen würde. Entgegen der Auffassung der Vorinstanz kann aus den wiederholten Auslandreisen des Beschwerdeführers nicht zwingend darauf geschlossen werden, dass er über einen ausländischen Reisepass verfügt. Vor einigen Jahren hat die somalische Übergangsregierung begonnen, neue biometrische Reisepässe auszustellen, welche internationalen Standards entsprechen. Es kann nicht ausgeschlossen werden, dass der Beschwerdeführer für seine Auslandreisen ein solches Papier benutzte.</w:t>
      </w:r>
    </w:p>
    <w:p>
      <w:r>
        <w:rPr>
          <w:b/>
        </w:rPr>
        <w:t>E. 6.7</w:t>
      </w:r>
    </w:p>
    <w:p>
      <w:r>
        <w:t>Zusammenfassend hat das BFM im Hinblick auf die Frage der Zumutbarkeit des Wegweisungsvollzuges den rechtserheblichen Sachverhalt unvollständig festgestellt und den zuvor formulierten Anforderungen nicht genügt. Beschwerden gegen Verfügungen des BFM über die Verweigerung des Asyls und die Wegweisung haben grundsätzlich reformatorischen und nur ausnahmsweise kassatorischen Charakter (Art. 105 Abs. 1 und Art. 6 AsylG i.V.m. Art. 61 Abs. 1 VwVG). Eine reformatorische Entscheidung setzt indessen Entscheidungsreife, insbesondere eine genügende Abklärung des rechtserheblichen Sachverhaltes, voraus. Dies ist vorliegend hinsichtlich der Durchführbarkeit, insbesondere Zumutbarkeit des Vollzugs der Wegweisung für den Beschwerdeführer nicht gegeben, weshalb die angefochtene Verfügung - soweit die Frage des Vollzugs der Wegweisung betreffend - aufzuheben und die Sache zur richtigen und vollständigen Sachverhaltsabklärung sowie zur Neubeurteilung im Sinne der Erwägungen an die Vorinstanz zurückzuweisen ist.</w:t>
      </w:r>
    </w:p>
    <w:p>
      <w:r>
        <w:rPr>
          <w:b/>
        </w:rPr>
        <w:t>E. 7</w:t>
      </w:r>
    </w:p>
    <w:p>
      <w:r>
        <w:t>Nach dem Gesagten ergibt sich, dass die angefochtene Verfügung den rechtserheblichen Sachverhalt im Hinblick auf die Frage der Zumutbarkeit des Wegweisungsvollzuges unvollständig feststellt und Bundesrecht verletzt (Art. 106 AsylG). Die Beschwerde ist - soweit den Vollzug der Wegweisung betreffend - gutzuheissen und die Verfügung des BFM vom 12. Oktober 2010 hinsichtlich der Dispositiv-Ziffern 3 - 5 aufzuheben; im Übrigen ist die Beschwerde abzuweisen.</w:t>
      </w:r>
    </w:p>
    <w:p>
      <w:r>
        <w:rPr>
          <w:b/>
        </w:rPr>
        <w:t>E. 8</w:t>
      </w:r>
    </w:p>
    <w:p>
      <w:r>
        <w:t>Nachdem der Beschwerdeführer mit seinen Rechtsbegehren teilweise durchgedrungen ist, sind ihm reduzierte Verfahrenskosten aufzuerlegen (Art. 63 Abs. 1 VwVG). Diese sind auf insgesamt Fr. 300.- festzusetzen (Art. 16 Abs. 1 Bst. a VGG; Art. 2 und 3 des Reglements vom 21. Februar 2008 über die Kosten und Entschädigungen vor dem Bundesverwaltungsgericht [VGKE, SR 173.320.2]).</w:t>
      </w:r>
    </w:p>
    <w:p>
      <w:r>
        <w:rPr>
          <w:b/>
        </w:rPr>
        <w:t>E. 9</w:t>
      </w:r>
    </w:p>
    <w:p>
      <w:r>
        <w:t>Der Beschwerdeführer hat sich für das Verfahren nicht vertreten lassen, weshalb ihm keine verhältnismässig hohen Kosten erwachsen sind. Aus den Akten gehen auch keine weiteren zu entschädigende Auslagen hervor. Daher ist ihm keine Parteientschädigung zuzusprechen (Art. 64 Abs. 1 VwVG sowie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