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E-7409/2014 vom 21. Januar 2015</w:t>
      </w:r>
    </w:p>
    <w:p>
      <w:r>
        <w:t>Bundesverwaltungsgericht, 2015-01-21, FR</w:t>
      </w:r>
    </w:p>
    <w:p>
      <w:r>
        <w:rPr>
          <w:b/>
        </w:rPr>
        <w:t xml:space="preserve">Quelle: </w:t>
      </w:r>
      <w:r>
        <w:t>https://mcp.opencaselaw.ch/entscheid/bvger_E-7409_2014</w:t>
      </w:r>
    </w:p>
    <w:p>
      <w:r>
        <w:t>FR: TAF E-7409/2014 du 21 janvier 2015</w:t>
      </w:r>
    </w:p>
    <w:p>
      <w:r>
        <w:t>IT: TAF E-7409/2014 del 21 gennaio 2015</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déclare risquer des persécutions, d'une part, en raison de son engagement politique en Côte d'Ivoire, d'autre part, pour avoir participé, avec son père, à une mutinerie au Nigéria.</w:t>
      </w:r>
    </w:p>
    <w:p>
      <w:r>
        <w:rPr>
          <w:b/>
        </w:rPr>
        <w:t>E. 3.2</w:t>
      </w:r>
    </w:p>
    <w:p>
      <w:r>
        <w:t>Force est toutefois de constater avec l'autorité intimée, que les déclarations de l'intéressé divergent d'une audition à l'autre sur des points essentiels, ce qui ne permet pas de les considérer comme vraisemblables. S'agissant des événements en Côte d'Ivoire, le recourant déclare d'abord que sa mère était assassinée en avril 2011, pour situer ensuite cet événement en juin ou juillet 2011 ; il affirme dans un premier temps avoir quitté la Côte d'Ivoire en novembre 2011, alors que, lors de sa seconde audition, il indique la date du novembre 2012. Le récit concernant les événements ayant eu lieu au Nigéria comporte également plusieurs contradictions. Alors que, dans un premier temps, l'intéressé affirme craindre de partager le sort de son père en raison de la participation de ce dernier à une mutinerie, lors de la seconde audition, il déclare avoir été lui-même engagé dans l'armée, dans un groupe de "F._______". Liées à des événements-clés pour la demande d'asile de l'intéressé, ces contradictions enlèvent à ses propos tout crédit. En outre, prises globalement, les déclarations de l'intéressé sont particulièrement vagues et générales et semblent n'avoir été articulées que pour les seuls besoins de la cause.</w:t>
      </w:r>
    </w:p>
    <w:p>
      <w:r>
        <w:rPr>
          <w:b/>
        </w:rPr>
        <w:t>E. 3.3</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7.2</w:t>
      </w:r>
    </w:p>
    <w:p>
      <w:r>
        <w:t>Malgré les troubles et affrontements locaux qui surgissent épisodiquement,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en va de même de la Côte d'Ivoire, l'Etat dont l'intéressé affirme également posséder la nationalité.</w:t>
      </w:r>
    </w:p>
    <w:p>
      <w:r>
        <w:rPr>
          <w:b/>
        </w:rPr>
        <w:t>E. 7.3</w:t>
      </w:r>
    </w:p>
    <w:p>
      <w:r>
        <w:t>En outre, il ne ressort du dossier aucun élément dont on pourrait inférer que l'exécution du renvoi impliquerait une mise en danger concrète du recourant. A cet égard, le Tribunal observe en particulier que s'agissant de l'offre de preuve, articulée au stade de recours et tendant à se faire octroyer un délai pour produire un certificat médical, rien ne justifie d'y donner suite. Il convient en effet d'observer que l'intéressé souhaite déclare souffrir d'un glaucome. Sans minimiser ce problème, le Tribunal constate qu'il ne s'agit pas ici d'une atteinte à la santé d'une gravité telle qu'elle puisse empêcher le renvoi du recourant. Dès lors, la production d'une attestation médicale n'est pas pertinente.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