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E-73/2017 vom 24. Juni 2019</w:t>
      </w:r>
    </w:p>
    <w:p>
      <w:r>
        <w:t>Bundesverwaltungsgericht, 2019-06-24, DE</w:t>
      </w:r>
    </w:p>
    <w:p>
      <w:r>
        <w:rPr>
          <w:b/>
        </w:rPr>
        <w:t xml:space="preserve">Quelle: </w:t>
      </w:r>
      <w:r>
        <w:t>https://mcp.opencaselaw.ch/entscheid/bvger_E-73_2017</w:t>
      </w:r>
    </w:p>
    <w:p>
      <w:r>
        <w:t>FR: TAF E-73/2017 du 24 juin 2019</w:t>
      </w:r>
    </w:p>
    <w:p>
      <w:r>
        <w:t>IT: TAF E-73/2017 del 24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 das Bundesverwaltungsgericht an die rechtliche Begründung der vor-instanzlichen Verfügung nicht gebunden ist (Art. 62 Abs. 4 VwVG), kann es eine angefochtene Verfügung im Ergebnis gleich belassen, dieser aber eine andere Begründung zu Grunde legen. Die Möglichkeit einer solchen Motivsubstitution ist im Grundsatz der Rechtsanwendung von Amtes wegen begründet (vgl. Moser/Beusch/Kneubühler, Prozessieren vor dem Bundesverwaltungsgericht, 2. Aufl. 2013, Rz. 3.197). Im vorliegenden Fall nimmt das Bundesverwaltungsgericht bezüglich des Kerns der Begründung des Asylgesuchs eine Motivsubstitution im erwähnten Sinn vor und würdigt die Verfolgungsvorbringen des Beschwerdeführers nachfolgend unter dem Gesichtspunkt von Art. 3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Im Weiteren braucht es einen sogenannten zeitlichen und materiellen Kausalzusammenhang zwischen den letzten flüchtlingsrechtlich relevanten nachteiligen Erlebnissen und der Ausreise, ausser es bestehe eine begründete Furcht vor künftiger Verfolgung (BVGE2010/57 E. 2.4 und 3.2).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hinsichtlich ihrer Verneinung der Flüchtlingseigenschaft aus, dass der Viehbestand der Familie des Beschwerdeführers für einen Minderheitenclan beträchtlich sei. Erstaunlich sei ausserdem, dass der zweite Bruder sich bewusst - nachdem sein Vater und ein Bruder bereits getötet worden seien - in Lebensgefahr gebracht habe und dass eine Lösung des Konflikts (z.B. über Clanverhandlungen) nicht möglich gewesen sei. Darüber hinaus seien die Angaben zur Ehe der Schwester des Beschwerdeführers - sie sei mit einem Mann aus einem mächtigen Clan in K._______ (Puntland) verheiratet - und der Umstand, dass seine Mutter nach dem Angriff auf den Beschwerdeführer in der Gegend um B._______ verblieben sei, zweifelhaft. Es überrasche, so die Vorinstanz, dass weder die Mutter noch der Beschwerdeführer aus der Verbindung der Schwester hätten profitieren können. Ausserdem bleibe unklar, weshalb der Beschwerdeführer ein Jahr nach dem tödlichen Angriff seiner Familienangehörigen an der Wasserstelle misshandelt worden sei. Auch der weitere Ablauf der Ereignisse - wie er in die Stadt L._______ gekommen sei - sei nicht plausibel. Schliesslich seien auch die Schilderungen rund um seinen Aufenthalt in dieser Stadt und um seine Ausreise nicht glaubhaft (Art. 7 AsylG).</w:t>
      </w:r>
    </w:p>
    <w:p>
      <w:r>
        <w:rPr>
          <w:b/>
        </w:rPr>
        <w:t>E. 5.2</w:t>
      </w:r>
    </w:p>
    <w:p>
      <w:r>
        <w:t>In der Beschwerdeschrift wurde demgegenüber geltend gemacht, dass der Viehbestand das ganze Vermögen seiner Familie gewesen sei. Sie hätten keine Kamele dem dominierenden Clan abgeben wollen, weil sonst immer wieder Druck auf sie ausgeübt worden wäre. In diesem Sinne sei auch das - für somalische Begriffe übliche - Verhalten seines zweiten Bruders zu werten. Hinsichtlich der Heirat seiner Schwester gelte es klarzustellen, dass wenn eine Frau geheiratet habe, diese ihre Familie verlasse und zur Familie ihres Ehemannes stosse. Danach sei sie nicht mehr mit dem Beschwerdeführer und seiner Mutter in Kontakt gestanden und nie mehr nach B._______ zurückgekehrt.</w:t>
      </w:r>
    </w:p>
    <w:p>
      <w:r>
        <w:rPr>
          <w:b/>
        </w:rPr>
        <w:t>E. 5.3</w:t>
      </w:r>
    </w:p>
    <w:p>
      <w:r>
        <w:t>Vorliegend ist massgebend, dass zwischen dem fluchtauslösenden Ereignis - der angebliche Angriff auf den Beschwerdeführer an der Wasserstelle im Jahr 2010 - und der Ausreise aus Somalia im (...) 2012 zwei Jahre vergangen sind. Nach dem mutmasslichen Anschlag auf ihn sei er ohne zu Zögern nach L._______ gegangen. Dort sei er ohne Beziehungsnetz oder Verwandte immerhin (...) Jahre als obdachloser (...) geblieben (A27 F27). Manchmal hätten andere Jugendliche das, was er sich verdient habe, oder seine (...) geklaut; weitere Vorfälle habe es indes nicht gegeben. Weil er keine Zukunft in dieser Stadt gehabt habe, sei er nach Äthiopien weitergezogen (A27 F105 f.). Dennoch sei der "staatliche" Schutz in Puntland in Ortschaften wie L._______ oder K._______ besser als auf dem Land (A27 F97). Gestützt auf diese Aussagen ist davon auszugehen, dass der Beschwerdeführer in diesen zwei Jahren in L._______ nicht mehr bedroht wurde und dass er aus wirtschaftlichen Gründen die Stadt verlassen hat. Eine starre zeitliche Grenze, wann der zeitliche Kausalzusammenhang als unterbrochen zu gelten hat, lässt sich zwar nicht festlegen; zu würdigen sind jeweils bei der Beurteilung auch allfällige plausible objektive und subjektive Gründe, die eine frühere Ausreise verhindert haben (vgl. EMARK 2000 Nr. 17 E. 11.a). In der asylrechtlichen Literatur und Praxis wird eine Zeitspanne von sechs bis zwölf Monaten genannt, nach deren Ablauf der zeitliche Kausalzusammenhang als zerrissen gelten müsse. Bei einer Zeitspanne von mehr als zwei Jahren wird jedenfalls in der Praxis ein Kausalzusammenhang nicht mehr bejaht (vgl. BVGE 2009/51 E. 4.2.5 m.w.H.). Damit fehlt es vorliegend am sachlichen und zeitlichen Kausalzusammenhang. Die Vorbringen sind daher asylrechtlich nicht relevant (Art. 3 AsylG).</w:t>
      </w:r>
    </w:p>
    <w:p>
      <w:r>
        <w:rPr>
          <w:b/>
        </w:rPr>
        <w:t>E. 5.4</w:t>
      </w:r>
    </w:p>
    <w:p>
      <w:r>
        <w:t>Zusammenfassend ergibt sich, dass es dem Beschwerdeführer nicht gelungen ist, die Flüchtlingseigenschaft darzulegen. Das SEM hat daher im Ergebnis zu Recht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Somalia ist demnach unter dem Aspekt von Art. 5 AsylG rechtmässig. Sodann ergeben sich weder aus den Aussagen des Beschwerdeführers noch aus den Akten Anhaltspunkte dafür, dass er für den Fall einer Ausschaffung nach Somalia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in Somalia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Bundesverwaltungsgericht geht in seiner Praxis davon aus, dass der Vollzug der Wegweisung in den zentralen und südlichen Teil von Somalia grundsätzlich unzumutbar ist, ein solcher in die nördliche Landesteile (Somaliland und Puntland) jedoch unter Umständen erfolgen kann (vgl. Urteil des BVGer D-4321/2018 vom 6. September 2018 u.H.a. BVGE 2014/27 E. 6.5; wobei sich die Rechtsprechung von BVGE 2017/14 nur bedingt auf die vorliegende Konstellation übertragen lässt, zumal es sich vorliegend nicht um die Zumutbarkeit einer innerstaatlichen Fluchtalternative handelt, sondern um die Zumutbarkeit einer Rückkehr in die ursprüngliche Herkunftsregion).</w:t>
      </w:r>
    </w:p>
    <w:p>
      <w:r>
        <w:rPr>
          <w:b/>
        </w:rPr>
        <w:t>E. 7.3.2</w:t>
      </w:r>
    </w:p>
    <w:p>
      <w:r>
        <w:t>Der Beschwerdeführer ist heute (...) Jahre alt und es ist davon auszugehen, dass er - damals mutmasslich als Minderjähriger - ab dem Jahr 2010 für (...) Jahre ohne ein verwandtschaftliches Beziehungsnetz in L._______ (L._______ District/Region M._______ [südlicher Teil der Region E._______]/Puntland) gelebt hat. Er habe sich damals als obdachloser (...) seinen Unterhalt verdient. In Äthiopien habe er zudem ein Jahr in einem somalischen Hotel als Laufbursche gearbeitet. Im Sudan habe er im (...) 2014 die Studentin N._______ aus Somalia religiös geehelicht, die damals immer noch in der sudanesischen Hauptstadt gelebt habe. Seine Schwester lebe mit ihrem Ehemann - ein Mitglied eines einflussreichen Clans - in K._______ (K._______ District/Region E._______/Puntland; A27 F71 ff.). Zu ihr scheint er über die sozialen Medien regelmässigen Kontakt zu haben (A27 F10), was seinem Einwurf zu widersprechen scheint, bei einer verheirateten Schwester hole man sich keine Hilfe (A27 F77). Ferner verfügt er über einen Onkel in O._______ (Somaliland), wo er während seiner Ausreise schon gewesen sei (A27 F84), und eine Tante in P._______ (Somalia; A27 F81 ff.), wobei unklar ist, ob er zu ihnen Kontakt hat. Nichtsdestotrotz ist bei dieser Sachlage - insbesondere aufgrund seiner Verbindung zu seiner Schwester - von einem tragfähigen Beziehungsnetz des Beschwerdeführers in seiner Heimat auszugehen. Seine Schwester kann ihn im Falle einer Rückkehr sowohl in sozialer als auch in wirtschaftlicher Hinsicht unterstützen und ihm so eine Wiedereingliederung ermöglichen. Ausserdem ist der Beschwerdeführer jung und trotz des ärztlichen Zeugnisses vom 14. November 2016 als gesund zu bezeichnen. Auch wenn er gemäss eigenen Angaben keine Schule besucht hat, hat er bereits in jungen Jahren eine hohe Selbstständigkeit und Ungebundenheit an den Tag gelegt. Schliesslich ist auf die Möglichkeit hinzuweisen, individuelle Rückkehrhilfe (vgl. auch Art. 73 ff. AsylG) zu beantragen, was ihm die wirtschaftliche Wiedereingliederung in Puntland weiter erleichtern könnte.</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der Antrag auf Gewährung der unentgeltlichen Prozessführung mit Verfügung vom 13. Januar 2017 gutgeheissen wurde und auch heute nicht von genügenden Mitteln auszugehen ist,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