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E-7390/2014 vom 26. Februar 2015</w:t>
      </w:r>
    </w:p>
    <w:p>
      <w:r>
        <w:t>Bundesverwaltungsgericht, 2015-02-26, DE</w:t>
      </w:r>
    </w:p>
    <w:p>
      <w:r>
        <w:rPr>
          <w:b/>
        </w:rPr>
        <w:t xml:space="preserve">Quelle: </w:t>
      </w:r>
      <w:r>
        <w:t>https://mcp.opencaselaw.ch/entscheid/bvger_E-7390_2014</w:t>
      </w:r>
    </w:p>
    <w:p>
      <w:r>
        <w:t>FR: TAF E-7390/2014 du 26 février 2015</w:t>
      </w:r>
    </w:p>
    <w:p>
      <w:r>
        <w:t>IT: TAF E-7390/2014 del 26 febbraio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einzutreten.</w:t>
      </w:r>
    </w:p>
    <w:p>
      <w:r>
        <w:rPr>
          <w:b/>
        </w:rPr>
        <w:t>E. 2</w:t>
      </w:r>
    </w:p>
    <w:p>
      <w:r>
        <w:t>Im Asylbereich richten sich die Kognition des Bundesverwaltungsgerichts und die zulässigen Rügen nach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3.2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Gemäss eigenen Angaben gelangte die Beschwerdeführerin vor ihrer Einreise in die Schweiz von einem Drittstaat kommend auf dem Seeweg illegal nach Italien, wobei sie von den italienischen Behörden registriert und ihr auch Fingerabdrücke abgenommen worden seien. Ein entsprechender Eurodac-Treffer datiert vom 13. September 2014. Am 30. September 2014 ersuchte die Vorinstanz die italienischen Behörden um Aufnahme der Beschwerdeführerin gestützt auf Art. 13 Abs. 1 Dublin-III-VO. Dass Italien das Aufnahmegesuch erhalten hat, ergibt sich aus einer Empfangsbestätigung des elektronischen Posteingangs der zuständigen Dublin-Behörde Italiens, welche ebenfalls vom 30. September 2014 datiert (vgl. A11/2). Nachdem die italienischen Behörden das Übernahmeersuchen innert der in Art. 22 Abs. 1 Dublin-III-VO vorgesehenen Frist unbeantwortet liessen, ist von ihrer Zustimmung auszugehen (vgl. Art. 22 Abs. 7 Dublin-III-VO). Die Vorinstanz hat Italien danach unter dem Aspekt der Rangfolge der Kriterien zu Recht als zuständig für die Durchführung des Asylverfahrens der Beschwerdeführerin erachtet. Die Beschwerdeführerin bestreitet die grundsätzliche Zuständigkeit Italiens denn auch nicht.</w:t>
      </w:r>
    </w:p>
    <w:p>
      <w:r>
        <w:rPr>
          <w:b/>
        </w:rPr>
        <w:t>E. 4.2</w:t>
      </w:r>
    </w:p>
    <w:p>
      <w:r>
        <w:t>Im Lichte von Art. 3 Abs. 2 Dublin-III-VO ist zu prüfen, ob es wesentliche Gründe für die Annahme gibt, die Beschwerdeführerin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4.2.1</w:t>
      </w:r>
    </w:p>
    <w:p>
      <w:r>
        <w:t>Vorab ist festzuhalten, dass Italien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es bestehen keine konkreten Hinweise dafür, dass sich Italien im konkreten Fall nicht an die daraus resultierenden Verpflichtungen halten würde.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Aus dem Ende des letzten Jahres ergangenen Urteil des EGMR (vgl. EGMR: Entscheidung Tarakhel vs. Schweiz [Beschwerde Nr. 29217/12] vom 4. November 2014) ergibt sich keine wesentlich andere Einschätzung.</w:t>
      </w:r>
    </w:p>
    <w:p>
      <w:r>
        <w:rPr>
          <w:b/>
        </w:rPr>
        <w:t>E. 4.2.2</w:t>
      </w:r>
    </w:p>
    <w:p>
      <w:r>
        <w:t>Im vorliegenden Einzelfall sind den Akten keine Gründe für die Annahme zu entnehmen, Italien werde der Beschwerdeführerin kein ausreichendes Asylverfahren zukommen lassen, zumal sie ein solches bisher nicht in Anspruch genommen hat. Darüber hinaus ist insbesondere nicht ersichtlich, dass Italien den Grundsatz des Non-Refoulement missachten und sie zur Ausreise in ein Land zwingen würde, in dem ihr Leib, ihr Leben oder ihre Freiheit aus einem Grund nach Art. 3 Abs. 1 AsylG gefährdet ist oder in dem sie Gefahr laufen würde, zur Ausreise in ein solches Land gezwungen zu werden. Insgesamt hat die Beschwerdeführerin weder anlässlich ihrer Befragung noch in der Beschwerde konkret dargetan, dass und inwiefern sich Italien in Bezug auf ihre Person nicht an die völkerrechtlichen Verpflichtungen gehalten habe oder im Falle der Überstellung nicht halten werde.</w:t>
      </w:r>
    </w:p>
    <w:p>
      <w:r>
        <w:rPr>
          <w:b/>
        </w:rPr>
        <w:t>E. 4.2.3</w:t>
      </w:r>
    </w:p>
    <w:p>
      <w:r>
        <w:t>Bezüglich eines allfälligen Schutzes vor ihrem (...) oder anderen Drittpersonen hat die Vorinstanz zu Recht darauf hingewiesen, dass sich die Beschwerdeführerin an die italienische Polizei wenden kann. Aus den Akten ergeben sich keine Anhaltpunkte, um an der grundsätzlich bestehenden Schutzfähig und -willigkeit der italienischen Behörden im Falle der Beschwerdeführerin zu zweifeln, zumal ihre Vorbringen durchwegs pauschal ausfielen und sie keine konkrete Gefährdung, etwa in Bezug auf allfällige Übergriffe durch die Freunde ihres (...) oder die Mafia, geltend gemacht hat bzw. ihr nach einem entsprechenden Ersuchen von den zuständigen italienischen Behörden der Schutz verweigert worden wäre. Darüber hinaus ist auch davon auszugehen, dass die Beschwerdeführerin durchaus in der Lage ist, die ihr zur Verfügung stehenden Schutzmöglichkeiten in Anspruch zu nehmen, sollte sie dieser bedürfen, hat sie doch bereits nach ihrer Ankunft in Rom Unterstützung durch eine Anwältin gesucht und ihre Rechte bei den italienischen Gerichten eingefordert. Zur weiteren Begründung kann ergänzend auf die vorinstanzlichen Erwägungen in der angefochtenen Verfügung und in der Vernehmlassung verwiesen werden.</w:t>
      </w:r>
    </w:p>
    <w:p>
      <w:r>
        <w:rPr>
          <w:b/>
        </w:rPr>
        <w:t>E. 4.2.4</w:t>
      </w:r>
    </w:p>
    <w:p>
      <w:r>
        <w:t>Was die geltend gemachten gesundheitlichen Probleme betrifft, ist vorab festzuhalten, dass sie offensichtlich nicht von einer Schwere sind, die einer Überstellung nach Italien entgegenstehen würden. So ist die in Bezug auf den (...) notwendig gewordene Behandlung von Ende letzten Jahres abgeschlossen. Eine darüber hinaus gehende gewichtige physische oder psychische Erkrankung wurde, wie die Vorinstanz zu Recht ausgeführt hat, nicht glaubhaft dargelegt. Italien verfügt im Übrigen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Rechnung tragen und gegebenenfalls die italienischen Behörden vorgängig in geeigneter Weise über allfällige spezifische medizinische Umstände informieren, worauf sie bereits hingewiesen haben (vgl. Art. 31 f. Dublin-III-VO).</w:t>
      </w:r>
    </w:p>
    <w:p>
      <w:r>
        <w:rPr>
          <w:b/>
        </w:rPr>
        <w:t>E. 4.3</w:t>
      </w:r>
    </w:p>
    <w:p>
      <w:r>
        <w:t>Schliesslich liegen auch sonst in den individuellen Umständen des vorliegenden Einzelfalles keine Gründe vor, die einen Selbsteintritt der Schweiz nahelegen würden (vgl. Art. 17 Abs. 1 Dublin-III-VO). Der Vollständigkeit halber ist festzuhalten, dass die Dublin-III-VO den Schutzsuchenden kein Recht einräumt, den ihren Antrag prüfenden Staat selber auszuwählen (vgl. BVGE 2010/45 E. 8.3).</w:t>
      </w:r>
    </w:p>
    <w:p>
      <w:r>
        <w:rPr>
          <w:b/>
        </w:rPr>
        <w:t>E. 4.4</w:t>
      </w:r>
    </w:p>
    <w:p>
      <w:r>
        <w:t>Nach dem Gesagten ist es der Beschwerdeführerin nicht gelungen darzutun, dass sie im Falle einer Überstellung nach Italien Gefahr laufen würde, wegen dortiger Mängel des Asyl- und Wegweisungsverfahrens oder wegen der dort herrschenden Lebensbedingungen oder aus individuellen Gründen eine Verletzung ihrer Grundrechte zu erleiden. Somit bleibt Italien in Bezug auf die Beschwerdeführerin der für die Durchführung des Asyl- und Wegweisungsverfahrens zuständige Mitgliedstaat gemäss der Dublin-III-VO.</w:t>
      </w:r>
    </w:p>
    <w:p>
      <w:r>
        <w:rPr>
          <w:b/>
        </w:rPr>
        <w:t>E. 5</w:t>
      </w:r>
    </w:p>
    <w:p>
      <w:r>
        <w:t>Die Vorinstanz ist demnach zu Recht in Anwendung von Art. 31a Abs. 1 Bst. b AsylG auf das Asylgesuch der Beschwerdeführerin nicht eingetreten und hat - weil die Beschwerdeführerin nicht im Besitz einer gültigen Aufenthalts- oder Niederlassungsbewilligung ist - in Anwendung von Art. 44 AsylG die Überstellung nach Italien angeordnet (Art. 32 Bst. a der Asylverordnung 1 vom 11. August 1999 [AsylV 1, SR 142.311]).</w:t>
      </w:r>
    </w:p>
    <w:p>
      <w:r>
        <w:rPr>
          <w:b/>
        </w:rPr>
        <w:t>E. 6</w:t>
      </w:r>
    </w:p>
    <w:p>
      <w:r>
        <w:t>Da das Fehlen von Überstellungshindernissen bereits Voraussetzung des Nichteintretensentscheides gemäss Art. 31a Abs. 1 Bst. b AsylG ist (vgl. BVGE 2010/45 E. 10), sind allfällige Vollzugshindernisse gemäss Art. 83 Abs. 3 und 4 AuG (SR 142.20) - anders als das SEM dies tut - nicht mehr zu prüfen.</w:t>
      </w:r>
    </w:p>
    <w:p>
      <w:r>
        <w:rPr>
          <w:b/>
        </w:rPr>
        <w:t>E. 7</w:t>
      </w:r>
    </w:p>
    <w:p>
      <w:r>
        <w:t>Aus den Erwägungen ergibt sich, dass sich die angefochtene Verfügung als rechtmässig erweist und die Beschwerde abzuweisen ist.</w:t>
      </w:r>
    </w:p>
    <w:p>
      <w:r>
        <w:rPr>
          <w:b/>
        </w:rPr>
        <w:t>E. 8</w:t>
      </w:r>
    </w:p>
    <w:p>
      <w:r>
        <w:t>Bei diesem Ausgang des Verfahrens wären die Kosten von Fr. 600.- grundsätzlich der Beschwerdeführerin aufzuerlegen (Art. 63 Abs. 1 und 5 VwVG und Art. 1-3 des Reglements vom 21. Februar 2008 über die Kosten und Entschädigungen vor dem Bundesverwaltungsgericht [VGKE, SR 173.320.2]). Ihr Gesuch um Gewährung der unentgeltlichen Prozessführung im Sinne von Art. 65 Abs. 1 VwVG wurde mit Zwischenverfügung vom 13. Januar 2015 gutgeheissen.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