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E-7387/2014 vom 13. Januar 2015</w:t>
      </w:r>
    </w:p>
    <w:p>
      <w:r>
        <w:t>Bundesverwaltungsgericht, 2015-01-13, DE</w:t>
      </w:r>
    </w:p>
    <w:p>
      <w:r>
        <w:rPr>
          <w:b/>
        </w:rPr>
        <w:t xml:space="preserve">Quelle: </w:t>
      </w:r>
      <w:r>
        <w:t>https://mcp.opencaselaw.ch/entscheid/bvger_E-7387_2014</w:t>
      </w:r>
    </w:p>
    <w:p>
      <w:r>
        <w:t>FR: TAF E-7387/2014 du 13 janvier 2015</w:t>
      </w:r>
    </w:p>
    <w:p>
      <w:r>
        <w:t>IT: TAF E-7387/2014 del 13 gennaio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Flüchtlingen konnten gemäss aArt. 51 Abs. 2 AsylG in das Familienasyl eingeschlossen werden, wenn besondere Gründe für die Familienvereinigung sprachen. Die Bestimmung von aArt. 51 Abs. 2 AsylG wurde mit der am 1. Februar 2014 in Kraft getretenen Asylgesetzesrevision vom 14. Dezember 2012 aufgehoben (AS 2013 4375, 5357).</w:t>
      </w:r>
    </w:p>
    <w:p>
      <w:r>
        <w:rPr>
          <w:b/>
        </w:rPr>
        <w:t>E. 4.2</w:t>
      </w:r>
    </w:p>
    <w:p>
      <w:r>
        <w:t>Die in Kapitel III der Änderung vom 14. Dezember 2012 enthaltenen Übergangsbestimmungen sehen vor, dass für die im Zeitpunkt des Inkrafttretens der Änderung vom 14. Dezember 2012 dieses Gesetzes - also am 1. Februar 2014 - hängigen Verfahren das neue Recht gilt.</w:t>
      </w:r>
    </w:p>
    <w:p>
      <w:r>
        <w:rPr>
          <w:b/>
        </w:rPr>
        <w:t>E. 4.3</w:t>
      </w:r>
    </w:p>
    <w:p>
      <w:r>
        <w:t>Das Bundesverwaltungsgericht hat in seinem zur Publikation vorgesehenen Grundsatzurteil D-1590/2014 vom 8. Dezember 2014 festgestellt, dass die erwähnte Übergangsbestimmung nach dem Willen des Gesetzgebers auch für am 1. Februar 2014 erstinstanzlich hängige Gesuche gemäss aArt. 51 Abs. 2 AsylG gilt (vgl. a.a.O. E. 6.3-6.5), und die Frage des Vorliegens einer unzulässigen Rückwirkung geprüft und verneint (vgl. a.a.O. E. 6.6). Dies hat die Konsequenz, dass aArt. 51 Abs. 2 AsylG für die am 1. Feb­ruar 2014 hängigen Verfahren nicht mehr zur Anwendung gelangen kann (vgl. auch Urteil des BVGer vom 5. Januar 2015, E. 4.2) und entsprechende Gesuche um Familiennachzug von diesem Zeitpunkt an dahinfallen beziehungsweise gegenstandslos werden.</w:t>
      </w:r>
    </w:p>
    <w:p>
      <w:r>
        <w:rPr>
          <w:b/>
        </w:rPr>
        <w:t>E. 5</w:t>
      </w:r>
    </w:p>
    <w:p>
      <w:r>
        <w:t>Das vom Beschwerdeführer am 12. November 2013 gestellte Gesuch um Familienzusammenführung stützte sich bezüglich seines Bruders auf aArt. 51 Abs. 2 AsylG. Das BFM hätte diese Eingabe gemäss den obenstehenden Ausführungen nach dem 1. Februar 2014 nicht mehr materiell behandeln dürfen.</w:t>
      </w:r>
    </w:p>
    <w:p>
      <w:r>
        <w:rPr>
          <w:b/>
        </w:rPr>
        <w:t>E. 6</w:t>
      </w:r>
    </w:p>
    <w:p>
      <w:r>
        <w:t>Aus diesen Erwägungen ergibt sich, dass die angefochtene Verfügung Bundesrecht insofern verletzt (Art. 106 Abs. 1 AsylG), als das BFM zu Unrecht eine materielle Prüfung des Gesuchs um Familiennachzug gestützt auf aArt. 51 Abs. 2 AsylG vorgenommen hat. Auf die Beschwerdeausführungen, die sich ebenfalls auf aArt. 51 Abs. 2 AsylG stützen, ist folglich nicht weiter einzugehen. Die Beschwerde ist abzuweisen.</w:t>
      </w:r>
    </w:p>
    <w:p>
      <w:r>
        <w:rPr>
          <w:b/>
        </w:rPr>
        <w:t>E. 7</w:t>
      </w:r>
    </w:p>
    <w:p>
      <w:r>
        <w:t>Bei diesem Ausgang des Verfahrens wären die Kosten grundsätzlich dem Beschwerdeführer aufzuerlegen (Art. 63 Abs. 1 VwVG). Angesichts der Tatsache, dass ihm das noch nicht publizierte Grundsatzurteil des Bundesverwaltungsgerichts (vgl. E. 4.3) noch nicht bekannt sein konnte, ist von einer Kostenauflage anzusehen (Art. 63 Abs. 1 Satz 3 VwVG, Art. 6 Bst. b des Reglements vom 21. Februar 2008 über die Kosten und Entschädigungen vor dem Bundesverwaltungsgericht (VGKE, SR 173.320.2). Damit wird das Gesuch um Gewährung der unentgeltlichen Prozessführung ebenso gegenstandslos wie - angesichts des vorliegenden direkten Entscheids in der Sache - der Antrag auf Befreiung von der Kostenvorschusspflicht.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