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E-7382/2017 vom 18. Februar 2020</w:t>
      </w:r>
    </w:p>
    <w:p>
      <w:r>
        <w:t>Bundesverwaltungsgericht, 2020-02-18, DE</w:t>
      </w:r>
    </w:p>
    <w:p>
      <w:r>
        <w:rPr>
          <w:b/>
        </w:rPr>
        <w:t xml:space="preserve">Quelle: </w:t>
      </w:r>
      <w:r>
        <w:t>https://mcp.opencaselaw.ch/entscheid/bvger_E-7382_2017</w:t>
      </w:r>
    </w:p>
    <w:p>
      <w:r>
        <w:t>FR: TAF E-7382/2017 du 18 février 2020</w:t>
      </w:r>
    </w:p>
    <w:p>
      <w:r>
        <w:t>IT: TAF E-7382/2017 del 18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verwendet. Am 1. März 2019 ist zudem eine Teilrevision des AsylG in Kraft getreten (AS 2016 3101); für das vorliegende Verfahren gilt jedoch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i.V.m. Art. 49 VwVG).</w:t>
      </w:r>
    </w:p>
    <w:p>
      <w:r>
        <w:rPr>
          <w:b/>
        </w:rPr>
        <w:t>E. 3.1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Den frauenspezifischen Fluchtgründen ist Rechnung zu tragen (Art. 3 Abs. 2 AsylG).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3.3</w:t>
      </w:r>
    </w:p>
    <w:p>
      <w:r>
        <w:t>Die Menschenrechtssituation im Iran ist schon seit geraumer Zeit als schlecht zu bezeichnen, insbesondere bezüglich der Wahrung der politischen Rechte und der Meinungsäusserungsfreiheit. Jegliche Kritik am System der Islamischen Republik und an deren Würdenträgern ist tabu, ebenso die Berichterstattung über politische Gefangene oder Oppositionsbewegungen (BVGE 2009/28 E. 7.3.1). Aktuelle Menschenrechtsberichte sprechen weiterhin von einer sehr schlechten Menschrechtslage im Iran. Moniert werden insbesondere Todesurteile ohne faires Verfahren und für Verbrechen, die international nicht als schwerste Verbrechen anerkannt sind, rechtswidrige und willkürliche Tötungen, Entführungen und Folter durch staatliche Behörden, lebensgefährdende Bedingungen in Gefängnissen, willkürliche Verhaftungen und Inhaftierungen, insbesondere von hunderten von politischen Gefangenen, die Kriminalisierung von LGBTQ-Personen sowie generell schwere Einschränkungen der Meinungsäusserungsfreiheit, der Versammlungs- und Vereinigungsfreiheit, der Religionsfreiheit, der politischen Beteiligungsrechte und der Rechte von Frauen und Minderheiten. Angehörige ethnischer Minderheiten, inklusive Kurden, sind überdurchschnittlich oft von willkürlichen Verhaftungen, anhaltenden Inhaftierungen, Entführungen und physischen Misshandlungen betroffen. Insbesondere Angehörigen ethnischer Minderheiten, die die Verletzung ihrer Rechte kritisieren, drohen willkürliche Inhaftierungen, Folter und andere Misshandlungen, unfaire Gerichtsverfahren, Gefängnisstrafen und die Todesstrafe. Zudem werden Angehörige ethnischer Minderheiten bezüglich des Zugangs zu Bildung, zum Arbeitsmarkt, zu angemessenem Wohnraum und zu politischen Ämtern systematisch diskriminiert (vgl. beispielsweise U.S. Department of State, Iran 2018 Human Rights Report, &lt;https://www.state.gov/wp-content/uploads/2019/03/IRAN-2018.pdf&gt;, und Amnesty International, Report 2017/18 zur weltweiten Lage der Menschenrechte, 21. Februar 2018, S. 37 ff., &lt;https://www.amnesty.org/download/Documents/POL1067002018GERMAN.PDF&gt;; beide abgerufen am 06.01.2020).</w:t>
      </w:r>
    </w:p>
    <w:p>
      <w:r>
        <w:rPr>
          <w:b/>
        </w:rPr>
        <w:t>E. 4.1</w:t>
      </w:r>
    </w:p>
    <w:p>
      <w:r>
        <w:t>Im erstinstanzlichen Verfahren führte die Beschwerdeführerin aus, sie sei im Iran nicht verfolgt gewesen, sondern wegen ihres damaligen Ehemannes ausgereist, der politische Probleme gehabt habe und deswegen aus dem Iran geflüchtet sei. Sie fügte an, sie habe im Iran keine Rechte und sie akzeptiere weder das islamische Regime noch den Hijab oder die Gesetze gegen Frauen. Sie habe dies im Iran aber nie öffentlich gesagt, weil sie sonst Probleme bekommen hätte. Im Beschwerdeverfahren macht sie keine Ausführungen dazu, wieso sie bei einer Rückkehr in den Iran verfolgt wäre und verlangt lediglich den Einbezug in die Flüchtlingseigenschaft und den Asylstatus ihres Ehemannes.</w:t>
      </w:r>
    </w:p>
    <w:p>
      <w:r>
        <w:rPr>
          <w:b/>
        </w:rPr>
        <w:t>E. 4.2</w:t>
      </w:r>
    </w:p>
    <w:p>
      <w:r>
        <w:t>Die Beschwerdeführerin bringt zwar vor, sie sei dem iranischen Regime gegenüber sehr kritisch eingestellt, sie sagt jedoch auch, sie habe diese Meinung nie öffentlich geäussert und sie macht nicht geltend, sie sei wegen ihrer Meinung im Iran Nachteilen ausgesetzt gewesen. Dass die Beschwerdeführerin im Iran zudem unter der rechtlichen und gesellschaftlichen Stellung, die Frauen zukommt, litt, ist aufgrund der systematischen, staatlichen und gesellschaftlichen Diskriminierung gegenüber Frauen im Iran nachvollziehbar (vgl. dazu U.S. Department of State, Iran 2018 Human Rights Report, S. 39 ff., und Amnesty International, Report 2017/18 zur weltweiten Lage der Menschenrechte, 21. Februar 2018, S. 38 f.). Diskriminierungen dieser Art sind jedoch nur asylrelevant, wenn sie im Einzelfall ein solches Ausmass annehmen, dass die betroffenen Personen unter einem unerträglichen psychischen Druck im Sinne von Art. 3 Abs. 2 AsylG leiden (vgl. BVGE 2010/28 E. 3.3.1.1), was vorliegend nicht der Fall ist und von der Beschwerdeführerin auch nicht geltend gemacht wird. Die Beschwerdeführerin macht damit keine eigenen Asylgründe geltend. Mit Urteil im Verfahren E-3473/2017 stellt das Bundesverwaltungsgericht zudem fest, der ehemalige Ehemann der Beschwerdeführerin erfülle die Flüchtlingseigenschaft nicht und bestätigt die Ablehnung seines Asylgesuchs durch die Vorinstanz. Eine Reflexverfolgung der Beschwerdeführerin und ihres Sohnes aufgrund von politischen Aktivitäten ihres ehemaligen Ehemannes fällt deshalb ebenso ausser Betracht. Entsprechend ist nicht davon auszugehen, dass die Beschwerdeführerin bei einer Rückkehr in den Iran einer flüchtlingsrechtlich relevanten Verfolgung ausgesetzt wäre, womit sie die Flüchtlingseigenschaft nicht erfüllt. Ein Einbezug der Beschwerdeführerin und ihres Sohnes in die Flüchtlingseigenschaft des ehemaligen Ehemannes und Vaters kommt ebenfalls nicht in Betracht, da dieser die Flüchtlingseigenschaft nicht erfüllt.</w:t>
      </w:r>
    </w:p>
    <w:p>
      <w:r>
        <w:rPr>
          <w:b/>
        </w:rPr>
        <w:t>E. 4.3</w:t>
      </w:r>
    </w:p>
    <w:p>
      <w:r>
        <w:t>Die Vorinstanz hat damit zu Recht die Flüchtlingseigenschaft der Beschwerdeführerin und ihres Sohnes verneint und ihr Asylgesuch abgewiesen.</w:t>
      </w:r>
    </w:p>
    <w:p>
      <w:r>
        <w:rPr>
          <w:b/>
        </w:rPr>
        <w:t>E. 5</w:t>
      </w:r>
    </w:p>
    <w:p>
      <w:r>
        <w:t>Lehnt die Vorinstanz das Asylgesuch ab oder tritt sie darauf nicht ein, so verfügt sie in der Regel die Wegweisung aus der Schweiz und ordnet den Vollzug an; sie berücksichtigt dabei den Grundsatz der Einheit der Familie. Die Beschwerdeführerin verfügt weder über eine ausländerrechtliche Aufenthaltsbewilligung noch über einen Anspruch auf Erteilung einer solchen. Die Wegweisung wurde demnach zu Recht angeordnet (vgl. BVGE 2013/37 E. 4.4 und 2009/50 E. 9, jeweils m.w.H.).</w:t>
      </w:r>
    </w:p>
    <w:p>
      <w:r>
        <w:rPr>
          <w:b/>
        </w:rPr>
        <w:t>E. 6.1</w:t>
      </w:r>
    </w:p>
    <w:p>
      <w:r>
        <w:t>Ist der Vollzug der Wegweisung nicht zulässig, nicht zumutbar oder nicht möglich, so regelt die Vorinstanz das Anwesenheitsverhältnis nach den gesetzlichen Bestimmungen über die vorläufige Aufnahme von Ausländern (Art. 44 AsylG; Art. 83 Abs. 1 AIG).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Da es der Beschwerdeführerin nicht gelungen ist, eine asylrechtlich relevante Gefährdung nachzuweisen oder glaubhaft zu machen, findet das flüchtlingsrechtliche Refoulementverbot vorliegend keine Anwendung.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Auch die allgemeine Menschenrechtssituation im Iran lässt den Wegweisungsvollzug zum heutigen Zeitpunkt nicht als unzulässig erscheinen, auch wenn diese wie ausgeführt (vgl. E. 3.3) in diverser Hinsicht zu beanstanden ist. Entsprechend ist der Vollzug der Wegweisung sowohl im Sinne der flüchtlingsrechtlichen als auch der menschenrechtlichen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Iran herrscht im heutigen Zeitpunkt weder Krieg, Bürgerkrieg noch eine Situation allgemeiner Gewalt (vgl. dazu etwa Urteile des BVGer D-2176/2018 vom 21. November 2018 E. 10.2 und D-2335/2017 vom 9. April 2018 E. 7.4.3). Der Vollzug von Wegweisungen in den Iran ist daher in ständiger Praxis als generell zumutbar zu erachten. Die Beschwerdeführerin lebte vor ihrer Ausreise aus dem Iran seit ihrer Geburt in D._______, West-Aserbaidschan, wo heute noch ihre Eltern sowie vier Schwestern und zwei Brüder leben. Damit verfügt sie an ihrem Herkunftsort über ein tragfähiges familiäres und soziales Beziehungsnetz. Dafür, dass die Beschwerdeführerin wie in der Beschwerde behauptet, ihre Verbindung zum Iran weitgehend abgebrochen hätte, liegen keine konkreten Hinweise vor, zumal ihr ehemaliger Ehemann in der Anhörung ausführte, die Beschwerdeführerin habe weiterhin Kontakt mit ihrer Familie (SEM-Akte A29/21 F28 ff.). Die Beschwerdeführerin leidet zudem an keinen erheblichen gesundheitlichen Beschwerden. Sie hat ein abgeschlossenes (...)-Studium und Arbeitserfahrung als (...) und (...), so dass davon auszugehen ist, dass sie nach der Rückkehr wiederum einer Erwerbstätigkeit nachgehen und ihren Lebensunterhalt bestreiten kann. 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vgl. BVGE 2009/51 E. 5.6 und 2009/28 E. 9.3.2, je m.w.H.). Der dreijährige Sohn der Beschwerdeführerin ist in der Schweiz geboren. Die Beschwerdeführerin teilt sich das Sorgerecht mit dessen Vater, ihrem ehemaligen Ehemann. Mit drei Jahren ist der Sohn noch in einem Alter, in dem die Mitglieder der Kernfamilie seine wichtigsten Bezugspersonen sind. Dies dürfte beim Sohn der Beschwerdeführerin auch nach der Scheidung seiner Eltern der Fall sein. Es ist entsprechend nicht davon auszugehen und wird auch nicht vorgebracht, dass der Sohn in der Schweiz über die Kernfamilie hinaus soziale Beziehungen aufgebaut hat. Die Beschwerde des ehemaligen Ehemannes der Beschwerdeführerin wird mit Urteil vom heutigen Datum ebenfalls abgewiesen (Verfahren E-3473/2017), womit dessen Asylgesuch rechtskräftig abgewiesen und die Wegweisung vollstreckbar ist. Somit kann auch der Vater des Sohnes der Beschwerdeführerin nach D._______ zurückkehren. Auch insofern wird der Sohn mit der Ausreise aus der Schweiz nicht aus seinem vertrauten sozialen Umfeld herausgerissen und seine Betreuung durch seine beiden Elternteile und deren jeweilige Familie sollte kein Problem darstellen.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Verfahrenskosten sind in der Regel der unterliegenden Partei aufzuerlegen. Da den Beschwerdeführenden die unentgeltliche Prozessführung gewährt worden ist, sind keine Kosten zu erheben (Art. 65 Abs. 1 VwVG).</w:t>
      </w:r>
    </w:p>
    <w:p>
      <w:r>
        <w:rPr>
          <w:b/>
        </w:rPr>
        <w:t>E. 8.2</w:t>
      </w:r>
    </w:p>
    <w:p>
      <w:r>
        <w:t>Dem vom Gericht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Rechtsbeistand reichte am 26. Juni 2019 eine Kostennote in der Höhe von Fr. 4'824.75 für das vorliegende Beschwerdeverfahren und dasjenige des ehemaligen Ehemannes der Beschwerdeführerin (E-3473/2017) ein. In diesem Umfang wurde dem Rechtsbeistand im Verfahren des ehemaligen Ehemannes der Beschwerdeführerin (E-3473/2017) für beide Beschwerdeverfahren zusammen ein amtliches Honorar zugesprochen. Damit ist sein Aufwand für das vorliegende Verfahren abgegolten und es ist kein weiteres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