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E-7381/2015 vom 8. Juli 2016</w:t>
      </w:r>
    </w:p>
    <w:p>
      <w:r>
        <w:t>Bundesverwaltungsgericht, 2016-07-08, DE</w:t>
      </w:r>
    </w:p>
    <w:p>
      <w:r>
        <w:rPr>
          <w:b/>
        </w:rPr>
        <w:t xml:space="preserve">Quelle: </w:t>
      </w:r>
      <w:r>
        <w:t>https://mcp.opencaselaw.ch/entscheid/bvger_E-7381_2015</w:t>
      </w:r>
    </w:p>
    <w:p>
      <w:r>
        <w:t>FR: TAF E-7381/2015 du 8 juillet 2016</w:t>
      </w:r>
    </w:p>
    <w:p>
      <w:r>
        <w:t>IT: TAF E-7381/2015 del 8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Wie bereits in der Zwischenverfügung vom 8. Dezember 2015 festgestellt, verzichtet der Beschwerdeführer explizit auf die Gewährung von Asyl. Mit Ablauf der Rechtsmittelfrist ist somit Ziffer 2 des Dispositivs der angefochtenen Verfügung in Rechtskraft erwachsen. Gegenstand des vorliegenden Beschwerdeverfahrens bildet somit einzig die Flüchtlingseigenschaft des Beschwerdeführers infolge subjektiver Nachfluchtgründe.</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die Glaubhaftmachung der Vorbringen in einem publizierten Entscheid dargelegt und folgt dabei ständiger Praxis. Darauf kann hier verwiesen werden (BVGE 2010/57 E. 2.2).</w:t>
      </w:r>
    </w:p>
    <w:p>
      <w:r>
        <w:rPr>
          <w:b/>
        </w:rPr>
        <w:t>E. 3.3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4.1</w:t>
      </w:r>
    </w:p>
    <w:p>
      <w:r>
        <w:t>In Übereinstimmung mit der Vorinstanz und dem Beschwerdeführer geht das Gericht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4.2</w:t>
      </w:r>
    </w:p>
    <w:p>
      <w:r>
        <w:t>Die Vorinstanz kommt in der angefochtenen Verfügung zum Schluss, die behauptete illegale Ausreise sei nicht glaubhaft, mithin sei der Beschwerdeführer legal ausgereist. Der Beschwerdeführer habe deutlich unterschiedliche Angaben zum Zeitpunkt der Ausreise aus Eritrea gemacht. Zunächst habe er angegeben, er sei im Jahre 2001 ausgereist, später habe er die Ausreise mit dem Jahr 1998 datiert. Auch habe er wesentlich unvereinbare Aussagen zur Reiseroute gemacht und sich darüber hinaus auch dahingehend widersprüchlich geäussert, ob er zu Fuss oder mit dem Auto gereist sei. Zur Frage des eigentlichen Grenzübertrittes habe er sich nicht äussern können. Den weiteren Aussagen in diesem Zusammenhang fehle sodann jeglicher persönliche Bezug.</w:t>
      </w:r>
    </w:p>
    <w:p>
      <w:r>
        <w:rPr>
          <w:b/>
        </w:rPr>
        <w:t>E. 4.3</w:t>
      </w:r>
    </w:p>
    <w:p>
      <w:r>
        <w:t>In der Rechtsmitteleingabe führt der Beschwerdeführer aus, die Vor­instanz bestreite nicht, dass er vor seiner Ausreise in Eritrea gelebt habe, gehe aber zu Unrecht von einer legalen Ausreise aus. Dies sei indes schlichtweg unmöglich, zumal es keine Hinweise darauf gebe, dass er dem Personenkreis angehöre, welcher legal ausreisen könne. Der logische Schluss sei deshalb, dass er das Land illegal verlassen habe. Als Nachweis, dass er Eritrea illegal verlassen habe, gelte die Tatsache, dass er im Sudan als Flüchtling registriert worden sei. Sodann habe die Vorinstanz ausser Betracht gelassen, dass es ihm anlässlich der Erstbefragung gesundheitlich schlecht gegangen sei.</w:t>
      </w:r>
    </w:p>
    <w:p>
      <w:r>
        <w:rPr>
          <w:b/>
        </w:rPr>
        <w:t>E. 4.4</w:t>
      </w:r>
    </w:p>
    <w:p>
      <w:r>
        <w:t>Aufgrund der Akten stimmt das Gericht der Vorinstanz darin zu, dass die Vorbringen des Beschwerdeführers zu seiner angeblich illegalen Ausreise aus Eritrea unglaubhaft sind. Die Beweiswürdigung der Vorinstanz ist nicht zu beanstanden. Was der Beschwerdeführer in der Rechtsmitteleingabe dagegen vorbringt, ist nicht geeignet, die Vorbringen in einem anderen Lichte erscheinen zu lassen. Zunächst bleibt unklar, ob der Beschwerdeführer Eritrea bereits 1998 oder erst 2001 verlassen hat. Soweit er diese massive Unstimmigkeit in der Rechtsmitteleingabe mit dem Hinweis auf seine Krankheit rechtfertigt, ist festzustellen, dass allein dieser Umstand die Diskrepanz nicht zu entschuldigen vermag. Zudem war die Krankheit des Beschwerdeführers Thema anlässlich der Befragung und der Beschwerdeführer machte dabei nicht geltend, er sei aus medizinischen Gründen nicht in der Lage auszusagen. Im Übrigen hätte auch der Befrager von einer Anhörung abgesehen, hätte er feststellen müssen, dass das gesundheitliche Befinden des Beschwerdeführers eine solche nicht zulässt. Sodann darf vom Beschwerdeführer, auch wenn die Ausreise bereits längere Zeit zurückliegt, ohne weiteres verlangt werden, dass er sich zur Reiseroute und der Art wie er die Reise zurückgelegt hat (zu Fuss oder mit dem Auto) in den wesentlichen Punkten übereinstimmend äussert. Dies hat er offensichtlich nicht getan. Schliesslich hat er auch den in der Eingabe in Aussicht gestellten Beleg für seine Registrierung im Sudan nicht zu den Akten gereicht.</w:t>
      </w:r>
    </w:p>
    <w:p>
      <w:r>
        <w:rPr>
          <w:b/>
        </w:rPr>
        <w:t>E. 4.5</w:t>
      </w:r>
    </w:p>
    <w:p>
      <w:r>
        <w:t>Obwohl der Beschwerdeführer die wahren Umstände seiner Ausreise offensichtlich verheimlicht, lässt sich zwar (angesichts des Alters zur Zeit der Ausreise und in Berücksichtigung der Erwägung 4.1) noch nicht mit Bestimmtheit auf eine legale Ausreise schliessen. Eine solche kann aber auch nicht ohne weiteres einfach angenommen werden, indem sich der Beschwerdeführer aufgrund seines Alters einzig auf die notorisch schwierige Ausreise beruft, ohne die konkreten Ausreisegründe und -umstände auch nur ansatzweise darzutun. Der Beschwerdeführer ist demnach im Rahmen seiner Mitwirkungspflicht (Art. 8 AsylG)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welche im Übrigen auch die persönliche Glaubwürdigkeit des Beschwerdeführers ernsthaft in Frage stellen, und angesichts des Fehlens nachvollziehbarer Erklärungen auf Beschwerdeebene festzustellen, dass er das Vorliegen subjektiver Nachfluchtgründe nicht nachzuweisen oder zumindest glaubhaft zu machen vermag.</w:t>
      </w:r>
    </w:p>
    <w:p>
      <w:r>
        <w:rPr>
          <w:b/>
        </w:rPr>
        <w:t>E. 4.6</w:t>
      </w:r>
    </w:p>
    <w:p>
      <w:r>
        <w:t>Schliesslich vermögen praxisgemäss weder das Stellen eines Asylgesuchs im Ausland noch die Landesabwesenheit für sich alleine besehen dazu zu führen, dass der Beschwerdeführer bei einer Rückkehr nach Eritrea von den heimatlichen Behörden der subversiven Staatstätigkeit verdächtigt wird und eine Verfolgung durch den eritreischen Staat zu befürchten hat (vgl. Urteil des BVGer E-1950/2016 vom 21. April 2016).</w:t>
      </w:r>
    </w:p>
    <w:p>
      <w:r>
        <w:rPr>
          <w:b/>
        </w:rPr>
        <w:t>E. 5.1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5.2</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6</w:t>
      </w:r>
    </w:p>
    <w:p>
      <w:r>
        <w:t>Aus diesen Erwägungen ergibt sich, dass die angefochtene Verfügung Bundesrecht nicht verletzt und den rechtserheblichen Sachverhalt richtig sowie vollständig feststellt (Art. 106 Abs. 1 AsylG). Die Beschwerde ist daher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17. Dezember 2012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