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E-7373/2009 vom 13. Januar 2010</w:t>
      </w:r>
    </w:p>
    <w:p>
      <w:r>
        <w:t>Bundesverwaltungsgericht, 2010-01-13, DE</w:t>
      </w:r>
    </w:p>
    <w:p>
      <w:r>
        <w:rPr>
          <w:b/>
        </w:rPr>
        <w:t xml:space="preserve">Quelle: </w:t>
      </w:r>
      <w:r>
        <w:t>https://mcp.opencaselaw.ch/entscheid/bvger_E-7373_2009</w:t>
      </w:r>
    </w:p>
    <w:p>
      <w:r>
        <w:t>FR: TAF E-7373/2009 du 13 janvier 2010</w:t>
      </w:r>
    </w:p>
    <w:p>
      <w:r>
        <w:t>IT: TAF E-7373/2009 del 13 gennaio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nachträglich erfahrener erheblicher Tatsachen und nachträglich aufgefundener entscheidender Beweismittel (Art. 123 Abs 2 Bst. a BGG) geltend und zeigt ausserdem die Rechtzeitigkeit des Revisionsbegehrens auf.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4.1</w:t>
      </w:r>
    </w:p>
    <w:p>
      <w:r>
        <w:t>Zur Begründung des Revisionsgesuchs wird unter Verweis auf ein entsprechendes ärztliches Gutachten von Dr. med. G._______, Facharzt für Psychiatrie und Psychotherapie, vom (...), geltend gemacht, die Gesuchstellerin habe erst nach intensiver Therapie und unter dem Druck der unmittelbar bevorstehenden Rückreise von den nachstehenden traumatisierenden Ereignissen in der Türkei berichten können. Sie sei in ihrer Kindheit (...) regelmässig geschlagen und misshandelt worden. Um dem Elternhaus entfliehen zu können, habe sie bereits im Alter von (...) Jahren geheiratet und habe fortan im Elternhaus ihres Ehemannes gelebt. Auch von diesem sei sie in der Folge wiederholt misshandelt und einmal so heftig geschlagen worden, dass sie (...) geflüchtet sei, (...) sie aber nicht aufgenommen sondern wieder zu ihrem Ehemann zurückgeschickt habe. Nach der Geburt ihres ersten Kindes sei sie von H._______ zu einem Treffen genötigt und vergewaltigt worden. (...) Trotz aller Verheimlichungsversuche seien Gerüchte über ein allfälliges Verhältnis zu diesem Mann aufgekommen, aufgrund derer sie von ihrer eigenen als auch von der Familie ihres Mannes mehrfach bedroht worden sei. Aufgrund der in ihrem Herkunftsmilieu geltenden Wertvorstellungen und insbesondere in Ausnützung ihrer Furcht vor einem drohenden Ehrenmord (...). Bis heute hätten ihre Familienangehörigen keine Kenntnis vom vorstehenden Vorfall. Ihr Ehemann habe sein Verhalten ihr gegenüber seit ihrer Einreise in die Schweiz grundlegend geändert. Im Falle einer Rückkehr sei jedoch davon auszugehen, dass dieses fragile Gleichgewicht sofort durch die dort herrschenden Bräuche beseitigt würde. H.______ stelle ihr auch in der Schweiz nach und behaupte, Fotos von ihr zu besitzen. Bei einer Offenlegung des damaligen Vorfalls würden ihre und die in der Türkei verbliebene Familie ihres Ehemannes versuchen, den Ehrenkodex an ihr zu vollziehen, wobei ihr Ehemann sich dort nicht vor sie stellen würde, wie er dies vor der Ausreise auch in keiner Weise getan habe. Dem eingereichten ärztlichen Zeugnis ist zu entnehmen, dass die Gesuchstellerin unter (...) leide. Dabei sei es zu (...) gekommen. Erst im Verlauf der Therapie habe die Gesuchstellerin davon überzeugt werden können, die Ärzte in der Klinik, ihren Rechtsvertreter und letztlich die öffentlichen Organe ins Vertrauen zu ziehen. Dabei habe sie sich jeweils höchste Diskretion zusichern lassen. Angesichts des Krankheitsverlaufs und nach einer intensiven Auseinandersetzung mit der Gesuchstellerin und ihrer Umgebung sei verständlich, dass sie die wahren Hintergründe ihrer Leidensgeschichte erst im Verlauf der Behandlung offengelegt habe.</w:t>
      </w:r>
    </w:p>
    <w:p>
      <w:r>
        <w:rPr>
          <w:b/>
        </w:rPr>
        <w:t>E. 4.2</w:t>
      </w:r>
    </w:p>
    <w:p>
      <w:r>
        <w:t>Zunächst ist festzustellen, dass diese von der Gesuchstellerin neu vorgetragenen Umstände bereits im Zeitpunkt des ordentlichen Verfahrens bestanden und sich das zu deren Beleg eingereichte ärztliche Zeugnis auf dieselben bezieht. Sodann vermochte sie überzeugend darzulegen, dass ihr auch bei Anwendung der zumutbaren Sorgfalt und in Beachtung der ihr obliegenden Mitwirkungspflicht nach Art. 8 AsylG nicht zumutbar gewesen wäre, diese bereits im vorangegangen ordentlichen Rekursverfahren geltend zu machen (vgl. Art. 123 Abs. 2 Bst. a BGG). Dies ergibt sich - auch bei praxisgemässer Zurückhaltung bei der Annahme, die neuen Tatsachen hätten aus "anderen Gründen" als der Unkenntnis bisher nicht vorgebracht werden können - ohne weiteres aus der Tatsache, dass ein entsprechendes Vorbringen im - gemeinsam mit dem Ehemann bestrittenen - ordentlichen Verfahren zur Folge gehabt hätte, dass ihre Familie von den geschilderten Umständen Kenntnis erhalten hätte. In diesem Zusammenhang führt der behandelnde Arzt aus, angesichts der neuen Erkenntnisse könne ihr Verhalten in der Klinik im Nachhinein verstanden werden. (...) Zusammenfassend steht fest, dass die auf Revisionsebene geltend gemachten Tatsachen insoweit neu sind, als sie aus verschiedenen entschuldbaren Gründen nicht bereits im Beschwerdeverfahren geltend gemacht werden konnten. Hinsichtlich des ärztlichen Zeugnisses ergibt sich die Neuheit aus dem Umstand, dass es sich auf die neuen Tatsachen bezieht.</w:t>
      </w:r>
    </w:p>
    <w:p>
      <w:r>
        <w:rPr>
          <w:b/>
        </w:rPr>
        <w:t>E. 4.3</w:t>
      </w:r>
    </w:p>
    <w:p>
      <w:r>
        <w:t>Den vorliegenden dargelegten Tatsachen kommt klarerweise die revisionsrechtlich geforderte Erheblichkeit im Sinne von Art. 123 Abs. 2 Bst. a BGG zu. Wären sie bereits im ordentlichen Asylverfahren vorgebracht und allenfalls bereits dort das nun vorliegende Beweismittel beigebracht worden, so wäre dies grundsätzlich geeignet gewesen, die Situation der Gesuchstellerin in einem anderen Licht erscheinen zu lassen, mithin zu einem anderen Beschwerdeentscheid zu führen. Werden nämlich die neu geltend gemachten Vorkommnisse als glaubhaft erkannt, hat dies zur Folge, dass die Situation der Gesuchstellerin - zumindest im Vollzugspunkt - neu geprüft werden muss.</w:t>
      </w:r>
    </w:p>
    <w:p>
      <w:r>
        <w:rPr>
          <w:b/>
        </w:rPr>
        <w:t>E. 4.4</w:t>
      </w:r>
    </w:p>
    <w:p>
      <w:r>
        <w:t>Bei dieser Sachlage ist der Revisionsgrund des Vorliegens neuer erheblicher Tatsachen und Beweismittel gemäss Art. 123 Abs. 2 Bst. a BGG gegeben. Unter diesen Umständen ist das Revisionsgesuch gutzuheissen, das Urteil des Bundesverwaltungsgerichts (...) ist, soweit die Gesuchstellerin und deren Kinder betreffend, hinsichtlich der Frage der Flüchtlingseigenschaft und der Durchführbarkeit des Wegweisungsvollzugs aufzuheben und das Beschwerdeverfahren in diesem Umfang wieder aufzunehmen ist.</w:t>
      </w:r>
    </w:p>
    <w:p>
      <w:r>
        <w:rPr>
          <w:b/>
        </w:rPr>
        <w:t>E. 5.1</w:t>
      </w:r>
    </w:p>
    <w:p>
      <w:r>
        <w:t>Bei diesem Ausgang des Verfahrens sind für das Revisionsverfahren keine Kosten zu erheben (Art. 63 Abs. 1 i.V.m. Art. 68 Abs. 2 VwVG).</w:t>
      </w:r>
    </w:p>
    <w:p>
      <w:r>
        <w:rPr>
          <w:b/>
        </w:rPr>
        <w:t>E. 5.2</w:t>
      </w:r>
    </w:p>
    <w:p>
      <w:r>
        <w:t>Der Gesuchstellerin ist sodann gestützt auf Art. 64 Abs. 1 VwVG (i.V.m. Art. 68 Abs. 2 VwVG) sowie Art. 16 Abs. 1 Bst. a VGG i.V. m. Art. 7 Abs.1 des Reglements vom 21. Februar 2008 über die Kosten und Entschädigungen vor dem Bundesverwaltungsgericht (VGKE, SR 173.320.2) eine Entschädigung für die ihr erwachsenen notwendigen Kosten im Revisionsverfahren zuzusprechen. Diese ist aufgrund der Akten pauschal auf 800.- (inklusive Auslagen und allfälligem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