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E-7365/2015 vom 2. Dezember 2015</w:t>
      </w:r>
    </w:p>
    <w:p>
      <w:r>
        <w:t>Bundesverwaltungsgericht, 2015-12-02, FR</w:t>
      </w:r>
    </w:p>
    <w:p>
      <w:r>
        <w:rPr>
          <w:b/>
        </w:rPr>
        <w:t xml:space="preserve">Quelle: </w:t>
      </w:r>
      <w:r>
        <w:t>https://mcp.opencaselaw.ch/entscheid/bvger_E-7365_2015</w:t>
      </w:r>
    </w:p>
    <w:p>
      <w:r>
        <w:t>FR: TAF E-7365/2015 du 2 décembre 2015</w:t>
      </w:r>
    </w:p>
    <w:p>
      <w:r>
        <w:t>IT: TAF E-7365/2015 del 2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tant qu'il conclut à l'annulation de la décision entreprise.</w:t>
      </w:r>
    </w:p>
    <w:p>
      <w:r>
        <w:rPr>
          <w:b/>
        </w:rPr>
        <w:t>E. 2</w:t>
      </w:r>
    </w:p>
    <w:p>
      <w:r>
        <w:t>La décision du 5 novembre 2015 est annulée et la cause renvoyée au SEM, dans le sens des considérants, pour nouvelle décision dûment motivée.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aux recourants la somme de 600 francs à titre de dépens.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