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E-735/2010 vom 1. März 2010</w:t>
      </w:r>
    </w:p>
    <w:p>
      <w:r>
        <w:t>Bundesverwaltungsgericht, 2010-03-01, DE</w:t>
      </w:r>
    </w:p>
    <w:p>
      <w:r>
        <w:rPr>
          <w:b/>
        </w:rPr>
        <w:t xml:space="preserve">Quelle: </w:t>
      </w:r>
      <w:r>
        <w:t>https://mcp.opencaselaw.ch/entscheid/bvger_E-735_2010</w:t>
      </w:r>
    </w:p>
    <w:p>
      <w:r>
        <w:t>FR: TAF E-735/2010 du 1 mars 2010</w:t>
      </w:r>
    </w:p>
    <w:p>
      <w:r>
        <w:t>IT: TAF E-735/2010 del 1 marzo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15. Januar 2010 wird aufgehoben und die Sache wird zwecks Eintreten auf das Wiedererwägungsgesuch an das BFM zurückgewiesen.</w:t>
      </w:r>
    </w:p>
    <w:p>
      <w:r>
        <w:rPr>
          <w:b/>
        </w:rPr>
        <w:t>E. 3</w:t>
      </w:r>
    </w:p>
    <w:p>
      <w:r>
        <w:t>Der Wegweisungsvollzug wird im Sinne einer vorsorglichen Massnahme bis zum allfälligen Erlass einer gegenteiligen Anordnung durch das BFM weiterhin ausgesetzt.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dem Beschwerdeführer eine Parteientschädigung in der Höhe von Fr. 761.-- zu entrichten.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