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E-7359/2016 vom 1. Dezember 2016</w:t>
      </w:r>
    </w:p>
    <w:p>
      <w:r>
        <w:t>Bundesverwaltungsgericht, 2016-12-01, DE</w:t>
      </w:r>
    </w:p>
    <w:p>
      <w:r>
        <w:rPr>
          <w:b/>
        </w:rPr>
        <w:t xml:space="preserve">Quelle: </w:t>
      </w:r>
      <w:r>
        <w:t>https://mcp.opencaselaw.ch/entscheid/bvger_E-7359_2016</w:t>
      </w:r>
    </w:p>
    <w:p>
      <w:r>
        <w:t>FR: TAF E-7359/2016 du 1 décembre 2016</w:t>
      </w:r>
    </w:p>
    <w:p>
      <w:r>
        <w:t>IT: TAF E-7359/2016 del 1 dicembre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4.1</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anhand des Visa-Informationssystems die Zuständigkeit Frankreichs erkannt und die französischen Behörden - gestützt auf Art. 12 Abs. 2 Dublin-III-VO - um Übernahme ersucht. Das Gesuch wurde gutgeheissen. Frankreich ist somit verpflichtet, die Person aufzunehmen und angemessene Vorkehrungen zu treffen. Die Beschwerdeausführungen sind nicht geeignet, eine Verletzung der Zuständigkeitsbestimmungen darzutun.</w:t>
      </w:r>
    </w:p>
    <w:p>
      <w:r>
        <w:rPr>
          <w:b/>
        </w:rPr>
        <w:t>E. 4.1.1</w:t>
      </w:r>
    </w:p>
    <w:p>
      <w:r>
        <w:t>So macht die Beschwerdeführerin zunächst geltend, in der Schweiz lebe ihr Verlobter, den sie im Internet kennengelernt und mit dem sie sich in der Türkei verlobt habe. Wie die Vorinstanz richtig festgestellt hat, fehlt es für die Inanspruchnahme der Garantien aus Art. 8 EMRK vorliegend bereits an einer dauerhaften Partnerschaft beziehungsweise einer nahen, echten und tatsächlich gelebten Beziehung. Heimliche Treffen in der Türkei, Telefonate und Ehevorbereitungen in der Schweiz ändern hieran nichts. Hinzu kommt, dass sich die Beschwerdeführerin nicht selbst auf den Schutzbereich von Art. 8 EMRK berufen kann. Ihr angeblicher Verlobter ist vorläufig aufgenommen. Die vorläufige Aufnahme bildet jedoch keine Aufenthaltsbewilligung, sondern einen vorübergehenden Status, der die Anwesenheit regelt, solange der Wegweisungsvollzug nicht zulässig, nicht zumutbar oder nicht möglich erscheint (BGE 137 II 305 E. 3.1 [S. 308 f.]; BGE 138 I 246 E. 2.3 [S. 249]). Wer über kein gefestigtes Anwesenheitsrecht verfügt, kann ein solches grundsätzlich auch nicht einem Dritten verschaffen, selbst wenn eine gelebte familiäre Beziehung zur Diskussion stünde (BGE 130 II 281 E. 3.1 [S. 286]). Im Übrigen gibt Art. 8 EMRK auch kein Recht auf Einreise oder Aufenthalt in einem bestimmten Staat noch auf Wahl des für das Familienleben am geeignetsten erscheinenden Ort (BGE 130 II 281 E. 3.1 [S. 285] mit Hinweisen). Folglich kann die Beschwerdeführerin aus Art. 8 EMRK nichts zu ihren Gunsten ableiten.</w:t>
      </w:r>
    </w:p>
    <w:p>
      <w:r>
        <w:rPr>
          <w:b/>
        </w:rPr>
        <w:t>E. 4.1.2</w:t>
      </w:r>
    </w:p>
    <w:p>
      <w:r>
        <w:t>Weiter wird auf Beschwerdeebene vorgebracht, gemäss Art. 51 AsylG seien Ehegatten von Flüchtlingen als Flüchtlinge anzuerkennen. Es spreche gegen Fairness sowie Moral und widerspreche den entsprechenden gesetzlichen Bestimmungen zu Ehe und Familie, wenn ein laufendes Heiratsverfahren verhindert werde. Vorliegend ist über einen allfälligen Einbezug der Beschwerdeführerin in die vorläufige Aufnahme ihres angeblichen Verlobten nicht zu entscheiden. Es fehlt dafür an der Zuständigkeit des Bundesverwaltungsgerichts. Das (schweizerische) Asylverfahren darf nicht dazu verwendet werden, die gesetzlichen Bestimmungen über den Familiennachzug zu umgehen (vgl. Urteil des BVGer E-2003/2015 vom 8. Dezember 2015 E. 7.10). Das Entscheidungsrecht über den Familiennachzug liegt beim zuständigen Kanton (Art. 85 AuG) und das gilt auch für die ausnahmsweise Gewährung eines "prozeduralen Aufenthaltes" vor dem Bewilligungsentscheid (Art. 17 Abs. 2 AuG; dazu BGE 139 I 37). Von der Beschwerdeführerin und ihrem Partner kann verlangt werden, dass sie das dafür vorgesehene Verfahren gemäss Art. 51 AsylG respektive Art. 85 Abs. 7 AuG bei der zuständigen Behörde einleiten. Es kann der Beschwerdeführerin auch zugemutet werden, den Ausgang eines solchen Verfahrens in Frankreich abzuwarten (so bereits statt vieler Urteile des BVGer E-3744/2015 vom 27. August 2015 E. 7.1 und D-6565/2014 vom 29. Juni 2015). Ehevorbereitungsverfahren sind in der Schweiz auch dann möglich, wenn die Brautleute nicht in der Schweiz wohnhaft sind (vgl. Art. 62 ff. der Zivilstandverordnung vom 28. April 2004 [ZStV, SR 211.112.2]). Schliesslich ist auch die Verhältnismässigkeit gewahrt, zumal die räumliche Trennung nicht sonderlich gross und überdies nur von vorübergehender Dauer wäre. Folglich hat die Vorinstanz Art. 51 AsylG nicht verletzt. In Ermangelung einer Ehe, Familie oder dauerhaften Partnerschaft beziehungsweise einer nahen, echten und tatsächlich gelebten Beziehung, sind auch keine anderen entsprechenden Gesetzesbestimmungen verletzt.</w:t>
      </w:r>
    </w:p>
    <w:p>
      <w:r>
        <w:rPr>
          <w:b/>
        </w:rPr>
        <w:t>E. 4.1.3</w:t>
      </w:r>
    </w:p>
    <w:p>
      <w:r>
        <w:t>Schliesslich macht die Beschwerdeführerin geltend, sie werde auch in Frankreich von ihren Familienmitgliedern - vor denen sie ursprünglich geflohen sei - gesucht. Auch diese Ausführungen sind nicht geeignet, eine Verletzung der Zuständigkeitsbestimmungen darzutun, weil die französischen Behörden schutzwillig und schutzfähig sind. Sofern die Beschwerdeführerin also tatsächlich auf Schutz angewiesen sein sollte, kann sie sich an diese wenden. Im Übrigen sind keine entsprechenden medizinischen Beschwerden der jungen, volljährigen Beschwerdeführerin aktenkundig. Die Vorinstanz hat folgerichtig einen Selbsteintritt ausgeschlossen (Art. 17 Dublin-III-VO, Art. 29a Abs. 3 AsylV 1).</w:t>
      </w:r>
    </w:p>
    <w:p>
      <w:r>
        <w:rPr>
          <w:b/>
        </w:rPr>
        <w:t>E. 4.2</w:t>
      </w:r>
    </w:p>
    <w:p>
      <w:r>
        <w:t>Zusammenfassend ist festzustellen, dass die Einwände der Beschwerdeführerin nicht geeignet sind, eine Verletzung der Zuständigkeitsbestimmungen darzutun. Wie oben ausgeführt, sind solche auch nicht ersichtlich. Die Vorinstanz ist zutreffend von der Zuständigkeit Frankreichs ausgegangen und in Anwendung von Art. 31a Abs. 1 Bst. b AsylG auf das Asylgesuch der Beschwerdeführerin nicht eingetreten. Für einen Selbsteintritt der Schweiz besteht kein Anlass. Allfällige weitere Vollzugshindernisse sind nicht mehr zu prüfen, da das Fehlen von Wegweisungsvollzugshindernissen bereits Voraussetzung des Nichteintretensentscheides gemäss Art. 31a Abs. 1 Bst. b AsylG ist (BVGE 2010/45 E. 10). Mit der zitierten Rechtsprechung (z. B. BVGE 2010/45 oder Urteil des EGMR M.S.S. gegen Belgien und Griechenland [Grosse Kammer] vom 21. Januar 2011, 30696/09) verkennt die Beschwerdeführerin, dass die Situation in Frankreich nicht mit derjenigen in Griechenland vergleichbar ist und dass es sich bei ihr nicht um eine Familie mit Kindern handelt. Die Vorinstanz hat - entgegen den pauschalen Rügen - die Art. 5 Abs. 1 AsylG, Art. 3, 5 und 8 EMRK nicht verletzt. Sofern sich die Beschwerde auf ausschliesslich europarechtliche Bestimmungen beruft, ist auf diese nicht einzugehen. Für eine Rückweisung an die Vorinstanz besteht nach dem Gesagten kein Anlass.</w:t>
      </w:r>
    </w:p>
    <w:p>
      <w:r>
        <w:rPr>
          <w:b/>
        </w:rPr>
        <w:t>E. 5</w:t>
      </w:r>
    </w:p>
    <w:p>
      <w:r>
        <w:t>Aus diesen Erwägungen ergibt sich, dass die angefochtene Verfügung Bundesrecht nicht verletzt und auch sonst nicht zu beanstanden ist (Art. 106 AsylG und Art. 49 VwVG). Die Beschwerde ist abzuweisen. Die Anträge betreffend aufschiebenden Wirkung, Sistierung des Wegweisungsvollzugs sowie die entsprechende Anweisung an die Behörden, sind mit vorliegendem Urteil gegenstandslos geworden.</w:t>
      </w:r>
    </w:p>
    <w:p>
      <w:r>
        <w:rPr>
          <w:b/>
        </w:rPr>
        <w:t>E. 6.1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