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E-7358/2024 vom 27. Februar 2025</w:t>
      </w:r>
    </w:p>
    <w:p>
      <w:r>
        <w:t>Bundesverwaltungsgericht, 2025-02-27, DE</w:t>
      </w:r>
    </w:p>
    <w:p>
      <w:r>
        <w:rPr>
          <w:b/>
        </w:rPr>
        <w:t xml:space="preserve">Quelle: </w:t>
      </w:r>
      <w:r>
        <w:t>https://mcp.opencaselaw.ch/entscheid/bvger_E-7358_2024</w:t>
      </w:r>
    </w:p>
    <w:p>
      <w:r>
        <w:t>FR: TAF E-7358/2024 du 27 février 2025</w:t>
      </w:r>
    </w:p>
    <w:p>
      <w:r>
        <w:t>IT: TAF E-7358/2024 del 27 febbraio 2025</w:t>
      </w:r>
    </w:p>
    <w:p>
      <w:pPr>
        <w:pStyle w:val="Heading2"/>
      </w:pPr>
      <w:r>
        <w:t>Regeste</w:t>
      </w:r>
    </w:p>
    <w:p>
      <w:r>
        <w:t>Verweigerung vorübergehender Schutz</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w:t>
      </w:r>
    </w:p>
    <w:p>
      <w:r>
        <w:t>E-7358/2024 Seite 4 eingereichte Beschwerde ist einzutreten (Art. 105 AsylG;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w:t>
      </w:r>
    </w:p>
    <w:p>
      <w:r>
        <w:t>E-7358/2024 Seite 5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4.3</w:t>
      </w:r>
    </w:p>
    <w:p>
      <w:r>
        <w:t>Auf Gesuche von Schutzbedürftigen an der Grenze oder im Inland fin- den die Art. 18 und 19 sowie 21–23 AsylG sinngemäss Anwendung (Art. 69 Abs. 1 AsylG). Liegt nicht offensichtlich eine Verfolgung im Sinne von Art. 3 AsylG vor, bestimmt das SEM im Anschluss an die Befragung im Zentrum des Bundes nach Art. 26 AsylG, ob die gesuchstellende Person zur Gruppe der schutzbedürftigen Personen gehört (Art. 69 Abs. 2 AsylG). Beabsichtigt das SEM, den vorübergehenden Schutz zu verweigern, so setzt es das Verfahren über die Anerkennung als Flüchtling oder das Wegweisungsver- fahren unverzüglich fort (vgl. Art. 69 Abs. 4 AsylG).</w:t>
      </w:r>
    </w:p>
    <w:p>
      <w:r>
        <w:rPr>
          <w:b/>
        </w:rPr>
        <w:t>E. 4.4</w:t>
      </w:r>
    </w:p>
    <w:p>
      <w:r>
        <w:t>Als Asylgesuch gilt jede Äusserung, mit der eine Person zu erkennen gibt, dass sie die Schweiz um Schutz vor Verfolgung nachsucht (Art. 18 AsylG).</w:t>
      </w:r>
    </w:p>
    <w:p>
      <w:r>
        <w:rPr>
          <w:b/>
        </w:rPr>
        <w:t>E. 5.1</w:t>
      </w:r>
    </w:p>
    <w:p>
      <w:r>
        <w:t>Das SEM führt zur Begründung der angefochtenen Verfügung im We- sentlichen aus, dass der Beschwerdeführer als pakistanischer Staatsange- höriger nicht zu der vom Bundesrat definierten Gruppe der schutzberech- tigten Personen gehöre und als solcher in Sicherheit und dauerhaft nach Pakistan zurückkehren könne. Er sei im Jahr 20(…) legal aus Pakistan ausgereist und verfüge über einen bis am (…) 2024 gültigen pakistani- schen Reisepass, welcher jederzeit erneuert werden könne.</w:t>
      </w:r>
    </w:p>
    <w:p>
      <w:r>
        <w:rPr>
          <w:b/>
        </w:rPr>
        <w:t>E. 5.2</w:t>
      </w:r>
    </w:p>
    <w:p>
      <w:r>
        <w:t>In der Beschwerdeschrift macht der Beschwerdeführer im Wesentli- chen geltend, es lasse sich aufgrund der bestehenden Aktenlage entgegen der Ansicht der Vorinstanz nicht beurteilen, ob er die Voraussetzungen von Ziff. I Bst. c der Allgemeinverfügung des Bundesrates zur Gewährung des vorübergehenden Schutzes im Zusammenhang mit der Situation in der Uk- raine vom 11. März 2022 erfülle, insbesondere ob er «in Sicherheit und dauerhaft» in sein Heimatland zurückkehren könne. Die Glaubhaftigkeit seiner Vorbringen betreffend den Entführungsversuch sei vom SEM nicht bestritten worden. Es hätte begründen müssen, weshalb seine Vorbringen nicht gegen eine dauerhafte Rückkehr in Sicherheit sprechen würden.</w:t>
      </w:r>
    </w:p>
    <w:p>
      <w:r>
        <w:t>E-7358/2024 Seite 6</w:t>
      </w:r>
    </w:p>
    <w:p>
      <w:r>
        <w:rPr>
          <w:b/>
        </w:rPr>
        <w:t>E. 5.3</w:t>
      </w:r>
    </w:p>
    <w:p>
      <w:r>
        <w:t>In seiner Vernehmlassung führt das SEM aus, dass hinsichtlich der Fortsetzung des Asylverfahrens es dem Beschwerdeführer jederzeit frei- stehe, ein Asylgesuch zu stellen. Eine Willensäusserung, die Schweiz um Schutz vor Verfolgung im Heimatland ersuchen zu wollen, könne frühes- tens ab dem Zeitpunkt der Eröffnung des negativen Schutzentscheids als Asylgesuch entgegengenommen werden.</w:t>
      </w:r>
    </w:p>
    <w:p>
      <w:r>
        <w:rPr>
          <w:b/>
        </w:rPr>
        <w:t>E. 5.4</w:t>
      </w:r>
    </w:p>
    <w:p>
      <w:r>
        <w:t>Replikweise macht der Beschwerdeführer im Wesentlichen geltend, dass er mit seinen Äusserungen anlässlich der Befragung zu erkennen ge- geben habe, dass er die Schweiz nebst vorübergehendem Schutz auch um Schutz vor Verfolgung in seinem Heimatland ersucht und somit ein Asylge- such im Sinne von Art. 18 AsylG gestellt habe. Daher wäre die Vorinstanz gehalten gewesen, nach der Ablehnung des Schutzstatus ein ordentliches Asylverfahren fortzusetzen.</w:t>
      </w:r>
    </w:p>
    <w:p>
      <w:r>
        <w:rPr>
          <w:b/>
        </w:rPr>
        <w:t>E. 6.1</w:t>
      </w:r>
    </w:p>
    <w:p>
      <w:r>
        <w:t>Der Beschwerdeführer stellt ein Rückweisungsbegehren und begrün- det es im Wesentlichen damit, dass sein rechtliches Gehör verletzt worden sei. Indem die Vorinstanz – trotz seiner Vorbringen – festgestellt habe, er gehöre nicht zur definierten Personengruppe, weil er in Sicherheit und dau- erhaft nach Pakistan zurückkehren könne, habe sie seine Verfahrens- rechte verletzt.</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 .m.w.H.). Gemäss Art. 29 Abs. 2 BV haben die Parteien eines Verfahrens Anspruch auf rechtliches Gehör, wonach die verfügende Behörde die Vorbringen des Betroffenen tatsächlich hört, sorgfältig und ernsthaft prüft und in der Entscheidfindung berücksichtigt, was sich ent- sprechend in der Entscheidbegründung niederschlagen muss (vgl. BVGE 2011/37 E. 5.4.1 m.w.H.).</w:t>
      </w:r>
    </w:p>
    <w:p>
      <w:r>
        <w:rPr>
          <w:b/>
        </w:rPr>
        <w:t>E. 6.3</w:t>
      </w:r>
    </w:p>
    <w:p>
      <w:r>
        <w:t>In Übereinstimmung mit dem Beschwerdeführer ist festzuhalten, dass sich gestützt auf die bestehende Aktenlage nicht ohne Weiteres beurteilen lässt, ob der Beschwerdeführer tatsächlich unter den Voraussetzungen von Ziff. 1 Bst. c der Allgemeinverfügung des Bundesrates zur Gewährung des vorübergehenden Schutzes im Zusammenhang mit der Situation in der</w:t>
      </w:r>
    </w:p>
    <w:p>
      <w:r>
        <w:t>E-7358/2024 Seite 7 Ukraine vom 11. März 2022 «in Sicherheit und dauerhaft» in sein Heimat- land Pakistan zurückkehren kann. Das SEM geht davon aus, dass bezüg- lich den geltend gemachten Verfolgungshandlungen seitens der Drogen- händler und Personen der Mafia die Polizei dem Beschwerdeführer bereits geholfen und damit Schutz gewährt habe, weshalb «vorfrageweise» nicht auf das Bestehen einer Verfolgung in seinem Heimatland geschlossen wer- den könne. Es beschäftigt sich aber nicht mit der Frage der konkreten Rückkehrmöglichkeiten für den Beschwerdeführer und geht nicht darauf ein, dass es sich bei diesen Übergriffen nach dem Vorbringen des Be- schwerdeführers um den entscheidenden Anlass gehandelt haben soll, weshalb er anschliessend aus Pakistan in die Ukraine ausgereist sei. Ins- gesamt ist festzustellen, dass das SEM eine potentielle Gefährdung auf- grund der Vorbringen nicht nach den Massstäben des Verfahrens betref- fend Gewährung des vorübergehenden Schutzes geprüft hat (vgl. zu die- sen etwa Urteil des BVGer E-4672/2022 vom 17. Mai 2023 E. 5.3). Das SEM hätte demnach begründen sollen, weshalb insbesondere der an der Befragung im Zusammenhang mit der (…) Tätigkeit seines Vaters vorge- brachte Entführungsversuch im Jahr 20(…) nicht gegen eine dauerhafte Rückkehr «in Sicherheit» spricht.</w:t>
      </w:r>
    </w:p>
    <w:p>
      <w:r>
        <w:rPr>
          <w:b/>
        </w:rPr>
        <w:t>E. 6.4</w:t>
      </w:r>
    </w:p>
    <w:p>
      <w:r>
        <w:t>Mit den genannten Vorbringen hat der Beschwerdeführer zudem gel- tend gemacht, er befürchte aufgrund seines Vaters, der (…) sei, seitens Drogenhändlern, der Mafia und der TPP eine Verfolgung. Spätestens seit dem Zeitpunkt der Befragung vom 2. April 2024 war aufgrund dieser Vor- bringen (A13) offensichtlich, dass er bei der Einreichung des Gesuchs um Gewährung des vorübergehenden Schutzes auch um Schutz vor Verfol- gung in seinem Heimatland ersuchte und somit im Sinne von Art. 18 AsylG ein Asylgesuch stellte. Im Übrigen hatte der Beschwerdeführer bereits vor- her darauf hingewiesen, dass er bereits in Moldawien ein Asylgesuch ein- gereicht habe; auch dies deutet darauf hin, dass er auch die Schweiz um Schutz vor Verfolgung nachsuchen wollte. Damit wäre das Verfahren von der Vorinstanz im Falle einer Verweigerung der Gewährung des vorüber- gehenden Schutzes gemäss Art. 69 Abs. 4 AsylG als ordentliches Asylver- fahren fortzusetzen und es wäre eine Anhörung zu den Asylgründen nach Art. 29 AsylG durchzuführen gewesen (vgl. Art. 76 Abs. 3 AsylG, Urteile des BVGer E-2877/2022 vom 6. Juli 2022 und D-5802/2022 vom 15. Feb- ruar 2023; D-7001/2023 vom 19. August 2024). Es gilt anzumerken, dass – entgegen der vorinstanzlichen Auffassung – es bei Vorliegen eines Asyl- gesuchs im Sinne von Art. 18 AsylG nicht am Beschwerdeführer liegt, nach der Verweigerung des vorübergehenden Schutzes ein Asylgesuch zu stel- len, sondern gemäss ausdrücklichem Wortlaut von Art. 69 Abs. 4 AsylG</w:t>
      </w:r>
    </w:p>
    <w:p>
      <w:r>
        <w:t>E-7358/2024 Seite 8 das SEM angehalten ist, das «Verfahren über die Anerkennung als Flücht- ling […] unverzüglich» fortzusetzen.</w:t>
      </w:r>
    </w:p>
    <w:p>
      <w:r>
        <w:rPr>
          <w:b/>
        </w:rPr>
        <w:t>E. 6.5</w:t>
      </w:r>
    </w:p>
    <w:p>
      <w:r>
        <w:t>Zusammenfassend ist festzustellen, dass die angefochtene Verfügung Bundesrecht verletzt (Art. 72 i.V.m. 106 Abs. 1 AsylG). Die Vorinstanz hat insbesondere den Sachverhalt unvollständig festgestellt und das rechtliche Gehör des Beschwerdeführers – namentlich die Begründungspflicht – ver- letzt. Ein reformatorischer Entscheid fällt nicht in Betracht und in Anwen- dung von Art. 61 VwVG ist die angefochtene Verfügung zu kassieren. Die Sache ist zu neuer Entscheidung an die Vorinstanz zurückzuweisen. Diese wird angewiesen, zu prüfen, ob allenfalls die geltend gemachten Vorbrin- gen des Beschwerdeführers die Voraussetzungen von Ziffer 1 Bst. c der Allgemeinverfügung des Bundesrates zur Gewährung des vorübergehen- den Schutzes im Zusammenhang mit der Situation in der Ukraine vom</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mit der Beschwerde eingereichte Kostennote erscheint den Verfahrensumständen angemessen. Der nach diesem Zeitpunkt entstandene notwendige Vertretungsaufwand durch den Rechtsvertreter lässt sich aufgrund der Aktenlage zuverlässig abschätzen, weshalb auf die Einholung einer Kostennote deshalb verzichtet werden kann (vgl. Art. 14 Abs. 2 VGKE). Die von der Vorinstanz auszurichtende Parteientschädigung ist demnach auf insgesamt Fr. 1'300.- (inkl. Auslagen und Mehrwertsteuerzuschlag im Sinne von Art. 9 Abs. 1 Bst. c VGKE) festzusetzen.</w:t>
      </w:r>
    </w:p>
    <w:p>
      <w:r>
        <w:rPr>
          <w:b/>
        </w:rPr>
        <w:t>E. 11</w:t>
      </w:r>
    </w:p>
    <w:p>
      <w:r>
        <w:t>März 2022 erfüllen, insbesondere ob er trotz seines geltend gemachten Entführungsversuchs durch Dritte im Jahr 20(…) und aufgrund des (…) Hintergrunds seines Vaters «in Sicherheit und dauerhaft» in sein Heimat- land zurückkehren kann. Im Falle einer Verweigerung des vorübergehen- den Schutzes wird die Vorinstanz angewiesen, die Vorbringen des Be- schwerdeführers als Asylgesuch zu behandeln und es im Rahmen eines ordentlichen Asylverfahrens (in Bezug auf den Heimatstaat Pakistan) ma- teriell zu behandeln. 7. 7.1 Bei diesem Ausgang des Verfahrens sind keine Kosten zu erheben (Art. 63 Abs. 1 und 2 VwVG). 7.2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mit der Beschwerde eingereichte Kostennote erscheint den Verfahrensumständen angemessen. Der nach diesem Zeitpunkt entstandene notwendige Vertre- tungsaufwand durch den Rechtsvertreter lässt sich aufgrund der Aktenlage zuverlässig abschätzen, weshalb auf die Einholung einer Kostennote des- halb verzichtet werden kann (vgl. Art. 14 Abs. 2 VGKE). Die von der Vo- rinstanz auszurichtende Parteientschädigung ist demnach auf insgesamt Fr. 1'300.– (inkl. Auslagen und Mehrwertsteuerzuschlag im Sinne von Art. 9 Abs. 1 Bst. c VGKE) festzusetzen.</w:t>
      </w:r>
    </w:p>
    <w:p>
      <w:r>
        <w:t>E-7358/2024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