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E-7357/2015 vom 31. Dezember 2015</w:t>
      </w:r>
    </w:p>
    <w:p>
      <w:r>
        <w:t>Bundesverwaltungsgericht, 2015-12-31, DE</w:t>
      </w:r>
    </w:p>
    <w:p>
      <w:r>
        <w:rPr>
          <w:b/>
        </w:rPr>
        <w:t xml:space="preserve">Quelle: </w:t>
      </w:r>
      <w:r>
        <w:t>https://mcp.opencaselaw.ch/entscheid/bvger_E-7357_2015</w:t>
      </w:r>
    </w:p>
    <w:p>
      <w:r>
        <w:t>FR: TAF E-7357/2015 du 31 décembre 2015</w:t>
      </w:r>
    </w:p>
    <w:p>
      <w:r>
        <w:t>IT: TAF E-7357/2015 del 31 dicembre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lehnt das Asylgesuch ab, da die Vorbringen des Beschwerdeführers den Anforderungen an die Glaubhaftmachung gemäss Art. 7 AsylG nicht standhielten. Es könne aufgrund der unsubstantiierten, widersprüchlichen und realitätsfremden Angaben weder das angegebene Alter, der Besuch zweier Madrasas, der Aufenthalt in Karachi bei den Taliban noch der diesbezügliche Zwang seiner Familie geglaubt werden. Was das Alter anbelange, so sei die Geburtsurkunde eine Kopie und im Übrigen kein rechtsgenügliches Dokument. Das im Personalienblatt anderslautende Geburtsdatum entschuldige der Beschwerdeführer mit der langen Reise, nach der er sein Geburtsdatum vergessen habe. Andererseits habe er angegeben, sein Geburtsdatum bereits in Pakistan nicht gekannt zu haben. Es erscheine jedoch als konstruiert, dass er erst im Verlauf des Asylverfahrens sein Geburtsdatum erfahre. Er sei folglich als volljährig zu betrachten. Sodann widerspreche er sich in zeitlicher Hinsicht. Zu seinen Aufenthalten in den Schulen habe er nur ausführen können, gebetet zu haben. Weder der Tagesablauf noch die an einer Madrasa vermittelten Inhalte seien ihm geläufig. Selbst die Schilderung der Trainingszeit bei den Taliban sei - trotz wiederholter Nachfrage - so spärlich ausgefallen, dass diese zu keinem Zeitpunkt habe nachvollzogen werden können. Ebenso realitätsfremd sei die Flucht aus dem Trainingslager ausgefallen.</w:t>
      </w:r>
    </w:p>
    <w:p>
      <w:r>
        <w:rPr>
          <w:b/>
        </w:rPr>
        <w:t>E. 4.2</w:t>
      </w:r>
    </w:p>
    <w:p>
      <w:r>
        <w:t>Der Beschwerdeführer stützt seine Beschwerde auf die Stellungnahme seiner ehemaligen Rechtsvertreterin vom 2. November 2015 (nachfolgend Stellungnahme), auf die er verweist. Zusammen mit der Beschwerde reicht er ein Dokument ein, mit dem Hinweis, es handle sich hierbei um das Original seiner Geburtsurkunde. Rechtsgenügliche Identitätsdokumente reicht er keine ein. Die eingereichte Urkunde hat keinen Beweiswert. Solche Dokumente sind nicht fälschungssicher und können gegen Geld erworben werden. Zudem wird in der Stellungnahme ausgeführt, der Beschwerdeführer habe bisher nur die Kopie seiner Geburtsurkunde einreichen können, weil die Beschaffung des Originals nicht möglich gewesen sei, da er dafür Kontakt mit seiner Familie in Pakistan hätte aufnehmen müssen, die ihn aber gerade in die Madrasa und später in das Training geschickt habe (Stellungnahme S. 1). Zu den oberflächlichen und widersprüchlichen Erklärungsversuchen der Stellungnahme kommen die unsubstantiierten und ebenso widersprüchlichen Aussagen und Angaben betreffend Alter und Schulzeit in den Befragungen und auf dem Personalienblatt. Auf Letzterem setzte er das Geburtsdatum März 1996, was sich dann im Verlauf des Verfahrens mehrmals änderte. Die Vorinstanz ist zu Recht nicht der Erklärung gefolgt, er habe sich wegen der langen Reise nicht an sein Geburtsdatum erinnern können (SEM-Akten, A 16 S. 2) oder er habe sein Geburtsdatum bereits in Pakistan nicht gekannt (SEM-Akten A 16 S. 2). Der Beschwerdeführer ist sichtlich nicht gewillt, sein wahres Alter, mithin seine wahre Identität offenzulegen. Folglich verstösst er gegen seine Mitwirkungspflicht nach Art. 8 Abs. 1 Bst. a AsylG. Die verwaltungsrechtliche Offizialmaxime findet unter anderem ihre Grenze an dieser Mitwirkungspflicht. Die Vorinstanz ist somit zu Recht von der Volljährigkeit des Beschwerdeführers ausgegangen. In der Stellungnahme wird mit Verweis auf Antwort 53 des Anhörungsprotokolls in Bezug auf die Madrasa weiter ausgeführt, der Beschwerdeführer habe den Namen des Imams gewusst und erzählt, dass er zusammen mit diesem viel gebetet habe (Stellungnahme S. 2). Eine Analyse des einschlägigen Befragungsprotokolls bestätigt jedoch die Schlussfolgerung der Vor­instanz. Trotz mehr als 30 Fragen zum Thema Madrasa, bleiben seine Aussagen zu oberflächlich, um einer Glaubhaftigkeitsprüfung standzuhalten (SEM-Akten, A 22 S. 3 ff., S. 7 f.; insb. Fragen 35 ff., 77 ff., 88 ff.). Gleiches gilt für seine Ausführungen im Zusammenhang mit dem angeblichen Aufenthalt bei den Taliban und der geltend gemachten Flucht von dort. Schliesslich macht der Beschwerdeführer in seiner Rechtsmitteleingabe geltend, das rechtliche Gehör sei verletzt worden, weil seitens der Befragerin offensichtlich eine starke Voreingenommenheit geherrscht habe. Diese Rüge findet jedoch keinen Halt in den Befragungsprotokollen, in der Stellungnahme oder den Akten im Allgemeinen. Das Insistieren und das Wiederholen von Fragen verletzt das rechtliche Gehör ebenso wenig, wie das Ansprechen auffälligen Verhaltens. Wie bereits von der Vorinstanz festgehalten, wurde dem Beschwerdeführer immer wieder und auf verschiedene Art und Weise die Möglichkeit geboten, sich ausführlicher zu den einzelnen Vorbringen zu äussern (Anfechtungsobjekt S. 5). Auch das rechtliche Gehör zur Altersfrage gibt im vorliegenden Fall keinen Anlass zur Beanstandung. Die Rüge der Verletzung des rechtlichen Gehörs geht fehl. Um Wiederholungen zu vermeiden, ist im Übrigen auf die Ausführungen der Vorinstanz zu verweisen. Es ist der Rechtsmitteleingabe nicht gelungen, darzulegen, inwiefern die Vorinstanz Bundesrecht verletzt oder den Sachverhalt fehlerhaft festgestellt haben soll. Solches ist den Akten auch nicht zu entnehmen.</w:t>
      </w:r>
    </w:p>
    <w:p>
      <w:r>
        <w:rPr>
          <w:b/>
        </w:rPr>
        <w:t>E. 4.3</w:t>
      </w:r>
    </w:p>
    <w:p>
      <w:r>
        <w:t>Der Beschwerdeführer hat somit nichts vorgebracht,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Pakistan herrscht keine landesweite Situation allgemeiner Gewalt. Den Akten sind sodann keine Hinweise zu entnehmen, wonach es dem Beschwerdeführer aufgrund seiner persönlichen Situation nicht zumutbar sein soll, in seinen Heimatstaat zurückzukehren. Beim Beschwerdeführer handelt es um einen jungen und grundsätzlich gesunden Mann. Der auf Beschwerdeebene eingereichte Kurzbericht vom 12. November 2015 des Triemli Spitals Zürich (einmalige Bewusstlosigkeit unklarer Ursache) vermag daran nichts zu ändern.</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Zusammenfassend erweist sich der Wegweisungsvollzug als zulässig, zumutbar und möglich, weshalb die Anordnung einer vorläufigen Aufnahme ausser Betracht fällt.</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sind die Anträge auf Parteientschädigung und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