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E-7344/2009 vom 28. April 2011</w:t>
      </w:r>
    </w:p>
    <w:p>
      <w:r>
        <w:t>Bundesverwaltungsgericht, 2011-04-28, FR</w:t>
      </w:r>
    </w:p>
    <w:p>
      <w:r>
        <w:rPr>
          <w:b/>
        </w:rPr>
        <w:t xml:space="preserve">Quelle: </w:t>
      </w:r>
      <w:r>
        <w:t>https://mcp.opencaselaw.ch/entscheid/bvger_E-7344_2009</w:t>
      </w:r>
    </w:p>
    <w:p>
      <w:r>
        <w:t>FR: TAF E-7344/2009 du 28 avril 2011</w:t>
      </w:r>
    </w:p>
    <w:p>
      <w:r>
        <w:t>IT: TAF E-7344/2009 del 28 aprile 2011</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JICRA 2000 n° 17 consid. 10 s., JICRA 1993 n° 10 consid. 5e ; Walter Stöckli, Asyl, in : Ausländerrecht, Handbücher für die Anwaltspraxis, Uebersax / Rudin /Hugi Yar / Geiser [édit.], 2e éd., Bâle 2009, p. 530 ; Minh Son Nguyen, Droit public des étrangers, Berne 2003, p. 423 s. ; Mario Gattiker, La procédure d'asile et de renvoi, Organisation suisse d'aide aux réfugiés [édit.], Berne 1999, p. 58 s. ; Walter Kälin, Grundriss des Asylverfahrens, Bâle/Francfort-sur-le-Main 1990, p. 49 ss ; Samuel Werenfels, Der Begriff des Flüchtlings im schweizerischen Asylrecht, Berne 1987, p. 269 ss, spéc. p. 275 ; voir enfin Message du Conseil fédéral à l'appui d'une loi sur l'asile du 31 août 1977, FF 1977 III 124).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règle générale énoncée à l'art. 2 LAsi, l'asile est octroyé aux réfugiés. Toutefois, la loi prévoit certaines exceptions à ce principe ("clauses d'exclusion de l'asile"). C'est en particulier le cas de l'art. 54 LAsi. En effet, selon cette disposition, celui qui est reconnu réfugié au sens de l'art. 3 LAsi, mais uniquement en raison de son départ du pays d'origine (ou de provenance) ou de son comportement après sa fuite, ne peut être mis au bénéfice de l'asile ; de tels motifs, dits "motifs subjectifs postérieurs", ne permettent pas l'octroi de l'asile, mais peuvent seulement faire constater la qualité de réfugié. Le législateur a clairement exclu qu'ils puissent conduire à l'octroi de l'asile, indépendamment de la question de savoir si le comportement du requérant peut ou non être qualifié d'abusif. Ils doivent être distingués des motifs objectifs postérieurs à la fuite qui ne relèvent pas du comportement du requérant. Sont en particulier considérés comme des motifs subjectifs survenus après le départ du pays, au sens de cette disposition, les activités politiques indésirables en exil, le départ illégal du pays ("Republikflucht") et le dépôt d'une demande d'asile à l'étranger, lorsqu'ils conduisent à une crainte fondée de persécution future (cf. ATAF 2009/29 consid. 5.1 et réf. cit.). L'exécution du renvoi d'un requérant qui s'est vu reconnaître la qualité de réfugié sur la base de motifs subjectifs postérieurs à la fuite s'avère illicite au sens des art. 44 al. 2 LAsi et art. 83 al. 3 LEtr.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 et réf. cit).</w:t>
      </w:r>
    </w:p>
    <w:p>
      <w:r>
        <w:rPr>
          <w:b/>
        </w:rPr>
        <w:t>E. 3.1</w:t>
      </w:r>
    </w:p>
    <w:p>
      <w:r>
        <w:t>En l'occurrence, il s'agit d'examiner si, en plus de la qualité de réfugié déjà reconnue par l'ODM sur la base de motifs subjectifs survenus après la fuite au sens de l'art. 54 LAsi, le recourant est fondé à prétendre à la reconnaissance de la qualité de réfugié et donc à l'octroi de l'asile pour des motifs antérieurs à son départ d'Erythrée.</w:t>
      </w:r>
    </w:p>
    <w:p>
      <w:r>
        <w:rPr>
          <w:b/>
        </w:rPr>
        <w:t>E. 3.2</w:t>
      </w:r>
    </w:p>
    <w:p>
      <w:r>
        <w:t>Le recourant s'est d'abord prévalu d'une persécution qu'il aurait subie le (...). Le fait d'avoir dû attendre deux heures durant accroupi lors d'un contrôle d'identité ne constitue cependant pas une persécution. Il ne s'agissait ni d'une mesure spécifiquement ciblée contre le recourant ni d'un préjudice que l'on pourrait qualifier de sérieux, à défaut d'intensité suffisante d'une telle atteinte à sa liberté ou à son intégrité physique.</w:t>
      </w:r>
    </w:p>
    <w:p>
      <w:r>
        <w:rPr>
          <w:b/>
        </w:rPr>
        <w:t>E. 3.3</w:t>
      </w:r>
    </w:p>
    <w:p>
      <w:r>
        <w:t>Le recourant s'est ensuite prévalu d'une persécution qu'il aurait subie en (...). Il a déclaré avoir été arrêté par la police militaire à Asmara, avoir été projeté violemment au sol et matraqué sur tout le corps, puis avoir été placé en détention durant un mois sans recevoir aucun soin pour une plaie à la fesse gauche résultant de la violence policière subie. Il a précisé qu'en raison de la confusion dans laquelle s'était déroulée l'audition sur ses motifs d'asile, il avait alors omis de relater ces événements.</w:t>
      </w:r>
    </w:p>
    <w:p>
      <w:r>
        <w:rPr>
          <w:b/>
        </w:rPr>
        <w:t>E. 3.3.1</w:t>
      </w:r>
    </w:p>
    <w:p>
      <w:r>
        <w:t>De jurisprudence constante, les événements qui constituent des motifs d'asile essentiels doivent être évoqués, au moins dans les grandes lignes, au centre d'enregistrement et de procédure déjà : leur omission lors de l'audition sommaire peut être retenue dans l'appréciation de la vraisemblance des déclarations ultérieures lors de l'audition sur les motifs d'asile (cf. JICRA 1993 no 3). L'omission, en violation de l'obligation de collaborer consacrée à l'art. 8 LAsi, d'invoquer ces événements lors de l'audition sommaire et ensuite lors de l'audition sur les motifs d'asile, sera considérée comme un facteur suffisant pour mettre en cause leur vraisemblance ; la jurisprudence de la CRA n'admettait une exception à ce principe que dans certaines circonstances particulières faisant apparaître les allégués tardifs comme excusables (cf. JICRA 1998 no 4 consid. 5a).</w:t>
      </w:r>
    </w:p>
    <w:p>
      <w:r>
        <w:rPr>
          <w:b/>
        </w:rPr>
        <w:t>E. 3.3.2</w:t>
      </w:r>
    </w:p>
    <w:p>
      <w:r>
        <w:t>En l'espèce, force est de constater que, lors de l'audition sommaire comme lors de l'audition sur ses motifs d'asile, le recourant n'a aucunement mentionné avoir été victime d'une arrestation en (...) suivie d'une détention d'un mois. Il lui est vain de faire valoir que l'audition sur ses motifs d'asile a été confuse, dès lors qu'il n'a pas non plus mentionné lors de l'audition sommaire ces événements, qu'il déclare pourtant aujourd'hui comme étant essentiels. Or, il n'a pas fait valoir de raisons justifiant qu'il ait tu ces événements essentiels lors de l'audition sommaire. A cela s'ajoute que les interruptions lors de l'audition sur les motifs d'asile signalées par la représentante de l'oeuvre d'entraide n'excusent pas le fait que le recourant ait tu les événements survenus (...) s'ils avaient véritablement eu un caractère décisif pour le dépôt de sa demande d'asile. En effet, force est de constater que, lors de cette audition, il a été largement questionné sur les raisons qui l'ont incité à demander l'asile et qu'il lui a été expressément demandé s'il avait encore des faits importants à ajouter. Il est significatif qu'il ait alors ajouté avoir subi une forme de contrainte policière en devant rester accroupi deux heures durant à l'occasion d'un contrôle d'identité, le (...), mais n'ait rien dit à propos d'une arrestation suivie d'une détention d'une durée d'un mois (...). Le Tribunal est d'autant plus fondé à admettre que le recourant avait exprimé, en procédure de première instance, tous ses motifs d'asile (et qu'il n'en avait pas d'autre à faire valoir), dès lors qu'il pouvait, avant le prononcé de la décision attaquée, en ignorer les conséquences juridiques (cf. arrêt du Tribunal fédéral 2C_556/2010 du 2 décembre 2010 consid. 3.2 et réf. cit.). Ses déclarations sur ces événements nouveaux sont non seulement tardives, et lui sont imputables à faute, mais encore elles sont très brèves, lacunaires (en ce sens qu'elles ne précisent ni les causes de l'arrestation, ni les circonstances de la détention ni celles de la libération) et enfin dénuées de détails significatifs.</w:t>
      </w:r>
    </w:p>
    <w:p>
      <w:r>
        <w:rPr>
          <w:b/>
        </w:rPr>
        <w:t>E. 3.3.3</w:t>
      </w:r>
    </w:p>
    <w:p>
      <w:r>
        <w:t>Le constat médical produit ne saurait prouver la réalité de ces événements. En effet, le médecin n'a pas précisé le degré de cohérence entre les résultats de l'examen physique avec les mauvais traitements allégués, mais uniquement constaté qu'il existait une compatibilité. De plus, les faits rapportés dans ce constat médical sont tout aussi imprécis que ceux révélés dans le mémoire de recours. La présence de cicatrices constitue certes un élément parlant en faveur de la probabilité d'une maltraitance. Elle n'est toutefois pas corroborée par le récit du recourant entaché des nombreuses invraisemblances précitées. Conformément à la pesée des éléments de vraisemblance et d'invraisemblance, l'origine de ces cicatrices n'est pas établie.</w:t>
      </w:r>
    </w:p>
    <w:p>
      <w:r>
        <w:rPr>
          <w:b/>
        </w:rPr>
        <w:t>E. 3.3.4</w:t>
      </w:r>
    </w:p>
    <w:p>
      <w:r>
        <w:t>Au vu de ce qui précède, après une pondération des éléments de vraisemblance et d'invraisemblance des nouveaux allégués relatifs aux événements survenus (...), le Tribunal arrive à la conclusion que le recourant ne les a pas rendus vraisemblables, au sens de l'art. 7 LAsi.</w:t>
      </w:r>
    </w:p>
    <w:p>
      <w:r>
        <w:rPr>
          <w:b/>
        </w:rPr>
        <w:t>E. 3.3.5</w:t>
      </w:r>
    </w:p>
    <w:p>
      <w:r>
        <w:t>Même s'ils avaient été rendus vraisemblables, ces événements de (...) ne seraient pas non plus pertinents au sens de l'art. 3 LAsi. En effet, une rupture du lien temporel de causalité doit être opposée au recourant, compte tenu de l'écoulement de plus d'une année et demie entre la prétendue survenance de ces événements et son départ d'Erythrée. Durant ce laps de temps, il n'a manifestement pas vécu de manière cachée des autorités ni été soumis à de nouvelles persécutions de la part de la police militaire ; au contraire, il a alors participé à plusieurs courses à l'étranger, à savoir (...). Or, il n'est pas crédible qu'il n'ait pas réussi à échapper à la surveillance de la délégation érythréenne lors de ces trois séjours antérieurs à l'étranger, s'il avait vraiment voulu échapper à une persécution.</w:t>
      </w:r>
    </w:p>
    <w:p>
      <w:r>
        <w:rPr>
          <w:b/>
        </w:rPr>
        <w:t>E. 3.4</w:t>
      </w:r>
    </w:p>
    <w:p>
      <w:r>
        <w:t>Le recourant a en outre allégué avoir été soumis à une pression psychique insupportable en tant qu'athlète des équipes régionale et nationale. Il a insisté sur le fait qu'il n'était pas rémunéré par les autorités érythréennes pour cette activité professionnelle et qu'il avait même été spolié des prix remportés individuellement ou par équipe.</w:t>
      </w:r>
    </w:p>
    <w:p>
      <w:r>
        <w:rPr>
          <w:b/>
        </w:rPr>
        <w:t>E. 3.4.1</w:t>
      </w:r>
    </w:p>
    <w:p>
      <w:r>
        <w:t>Il ressort effectivement de ses déclarations, comme de celles des autres athlètes qui ont échappé avec lui à la surveillance de la délégation sportive érythréenne, que sa présence parmi les meilleurs athlètes du pays résulte d'un choix personnel. Ce choix conduit à l'acceptation d'un cadre sportif caractérisé par le manque de moyens inhérents à un pays aussi pauvre que l'Erythrée et par une réglementation particulièrement contraignante, imposée par la fédération sportive concernée et la Commission du sport de son pays, qui semble prescrire que les athlètes doivent être entretenus par leur famille, qu'ils ne peuvent toucher des indemnités que lors de compétitions à l'étranger (à l'exclusion des primes), qu'ils n'ont pas de libre choix de se rendre à des compétitions à l'étranger, même s'ils y sont personnellement invités en raison de leur notoriété, et qu'il sont soumis à différentes sanctions sportives pour non-respect de la réglementation en vigueur, en particulier, à la privation d'indemnités, la privation de compétition pour plusieurs mois ou encore la privation du laissez-passer pour athlètes qui leur est délivré par la Commission du sport. Ces sanctions peuvent être appliquées de manière arbitraire par les dirigeants sportifs en vue de favoriser plutôt tel ou tel concurrent ou plus largement en raison d'une corruption plus ou moins généralisée.</w:t>
      </w:r>
    </w:p>
    <w:p>
      <w:r>
        <w:rPr>
          <w:b/>
        </w:rPr>
        <w:t>E. 3.4.2</w:t>
      </w:r>
    </w:p>
    <w:p>
      <w:r>
        <w:t>Le Tribunal considère toutefois qu'ayant choisi très jeune de se lancer dans une carrière sportive dans son pays, et d'y être resté en connaissance de cause, le recourant ne peut pas se prévaloir d'avoir été soumis contre son gré à une pression psychique insupportable au sens de l'art. 3 LAsi (cf. consid. 2.2). Dans ces conditions, l'absence alléguée d'un entraînement optimal en Erythrée, compte tenu des défauts sur le plan nutritionnel et de l'équipement et des efforts trop soutenus à fournir avant certaines compétitions au niveau international, de même que la privation de primes, voire d'indemnités, ne sont, à l'évidence, pas constitutives d'une pression psychique insupportable. En outre, les préjudices économiques allégués ne sont pas, du point de vue de leur intensité, assimilables à une telle pression, dès lors que le recourant bénéficiait à tout le moins du soutien de sa famille et qu'il n'était pas dépourvu de tout moyen d'existence à Asmara. En définitive, sur le plan de sa carrière sportive, le recourant n'a pas rendu vraisemblable avoir été exposé à de sérieux préjudices au sens de l'art. 3 LAsi en Erythrée. A noter sur ce point que c'est à juste titre que l'ODM a estimé que le départ légal d'Erythrée du recourant avec une délégation sportive érythréenne était la preuve qu'il n'était pas exposé à de sérieux préjudices au moment de son départ du pays. Il ressort en effet des déclarations de celui-ci que l'élément déterminant qui a déclenché sa défection, comme celle d'autres athlètes, c'est la renonciation, au dernier moment, des deux responsables de la délégation à se rendre à l'invitation à participer à une compétition en Italie.</w:t>
      </w:r>
    </w:p>
    <w:p>
      <w:r>
        <w:rPr>
          <w:b/>
        </w:rPr>
        <w:t>E. 3.5</w:t>
      </w:r>
    </w:p>
    <w:p>
      <w:r>
        <w:t>Le recourant a également invoqué que sa crainte d'être exposé à une sanction pénale démesurément sévère pour refus de servir était fondée au sens de l'art. 3 LAsi et que la reconnaissance de sa qualité de réfugié pour ce motif impliquait l'octroi de l'asile, conformément à l'art. 49 LAsi. Il y a d'abord lieu de constater qu'il a tenu un récit vague, confus et non étayé, en ce qui concerne le ou les documents qu'il aurait été contraint de signer avant son départ d'Erythrée. Il n'a pas rendu vraisemblable avoir été appelé avant son départ pour la Suisse à effectuer son service militaire immédiatement à son retour au pays. En outre, il n'était alors pas tenu d'entrer en service, puisqu'il a été autorisé à se rendre à l'étranger. Il n'a donc pas établi qu'il était concrètement entré en contact avec les autorités militaires avant son départ du pays (cf. JICRA 2006 no 3 consid. 4.10 s.). Même s'il avait fallu admettre la vraisemblance qu'à son retour au pays il aurait reçu un ordre de marche ou tout autre document émis par les autorités militaires, la décision qu'aurait prise le recourant de ne pas se soumettre à ses obligations militaires serait concomitante à l'abandon non planifié et sans autorisation de la délégation érythréenne, ainsi qu'à son non-retour avec celle-ci au pays, et se serait donc concrétisée par son comportement ultérieur à son départ d'Erythrée, le (...). Ainsi, en tout état de cause, le refus de servir constituerait tout au plus un motif subjectif supplémentaire survenu après le départ, exclusif de l'asile.</w:t>
      </w:r>
    </w:p>
    <w:p>
      <w:r>
        <w:rPr>
          <w:b/>
        </w:rPr>
        <w:t>E. 4</w:t>
      </w:r>
    </w:p>
    <w:p>
      <w:r>
        <w:t>Enfin, le recourant n'est pas fondé à se prévaloir d'une inégalité de traitement par rapport à l'un des quatre autres athlètes de la délégation érythréenne (...), qui s'est vu octroyer l'asile par l'ODM. Il ne ressort pas clairement de ce dossier que l'octroi de l'asile à cet athlète résulte d'une différence essentielle dans l'état de faits pertinents ; au contraire, il paraît résulter plutôt d'une confusion de l'ODM entre la réfraction, postérieure à un contact avec les autorités militaires au sens de la jurisprudence (JICRA 2006 no 3 consid. 4.11), qui constitue, en principe, un motif antérieur au départ, et le simple refus anticipé de servir. Dans ces conditions, même à supposer que la loi ait été mal appliquée à l'un des quatre autres athlètes de la délégation érythréenne, le recourant ne peut prétendre à l'égalité dans l'illégalité (cf. ATF 127 II 113 consid. 9b p. 121, ATF 127 I 1 consid. 3a p. 2, ATF 125 II 152 consid. 5 p. 166, ATF 122 II 446 consid. 4a p. 451 et les arrêts cités).</w:t>
      </w:r>
    </w:p>
    <w:p>
      <w:r>
        <w:rPr>
          <w:b/>
        </w:rPr>
        <w:t>E. 5.1</w:t>
      </w:r>
    </w:p>
    <w:p>
      <w:r>
        <w:t>Au vu de ce qui précède, le recourant n'a pas rendu vraisemblable, au sens de l'art. 7 LAsi, des motifs de protection antérieurs à son départ d'Erythrée et déterminants sous l'angle de l'art. 3 LAsi. Partant, le refus de l'asile est justifié.</w:t>
      </w:r>
    </w:p>
    <w:p>
      <w:r>
        <w:rPr>
          <w:b/>
        </w:rPr>
        <w:t>E. 5.2</w:t>
      </w:r>
    </w:p>
    <w:p>
      <w:r>
        <w:t>Par conséquent, son recours doit être rejeté et la décision attaquée confirmée.</w:t>
      </w:r>
    </w:p>
    <w:p>
      <w:r>
        <w:rPr>
          <w:b/>
        </w:rPr>
        <w:t>E. 6.1</w:t>
      </w:r>
    </w:p>
    <w:p>
      <w:r>
        <w:t>Au vu de l'issue de la cause, il y aurait certes lieu de mettre les frais de procédure à la charge du recourant, conformément à l'art. 63 al. 1 PA et aux art. 2 et 3 let. b du règlement du 21 février 2008 concernant les frais, dépens et indemnités fixés par le Tribunal administratif fédéral (FITAF, RS 173.320.2). La demande d'assistance judiciaire partielle devant toutefois être admise, il n'est pas perçu de frais de procédure (cf. art. 65 al. 1 PA).</w:t>
      </w:r>
    </w:p>
    <w:p>
      <w:r>
        <w:rPr>
          <w:b/>
        </w:rPr>
        <w:t>E. 6.2</w:t>
      </w:r>
    </w:p>
    <w:p>
      <w:r>
        <w:t>Le recourant ayant succombé, il n'y a pas lieu de lui octroyer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