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E-7343/2009 vom 30. November 2011</w:t>
      </w:r>
    </w:p>
    <w:p>
      <w:r>
        <w:t>Bundesverwaltungsgericht, 2011-11-30, DE</w:t>
      </w:r>
    </w:p>
    <w:p>
      <w:r>
        <w:rPr>
          <w:b/>
        </w:rPr>
        <w:t xml:space="preserve">Quelle: </w:t>
      </w:r>
      <w:r>
        <w:t>https://mcp.opencaselaw.ch/entscheid/bvger_E-7343_2009</w:t>
      </w:r>
    </w:p>
    <w:p>
      <w:r>
        <w:t>FR: TAF E-7343/2009 du 30 novembre 2011</w:t>
      </w:r>
    </w:p>
    <w:p>
      <w:r>
        <w:t>IT: TAF E-7343/2009 del 30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zu prüfen, ob sich die Rüge, das BFM habe den Sachverhalt unvollständig respektive unrichtig festgestellt, als begründet erweist, zumal gegebenenfalls die angefochtene Verfügung zu kassieren und die Sache an die Vorinstanz zur Neubeurteilung zurückzuweisen wäre. In den Protokollen finden sich weder Anzeichen für eine erschwerte sprachliche Verständigung noch für eine unvollständige respektive unrichtige Protokollierung der Aussagen. Der Beschwerdeführer bestätigte vielmehr am Schluss der Befragungen, das Protokoll sei ihm rückübersetzt worden und entspreche seinen Aussagen. Zudem hat anlässlich der Anhörung weder die Vertrauensperson noch die Hilfswerkvertreterin Einwände geltend gemacht und sie regten auch keine weiteren Abklärungen an. Insgesamt ist mangels gegenteiliger Hinweise in den Akten davon auszugehen, dass die Aussagen des Beschwerdeführers richtig und vollständig protokolliert wurden. Des Weiteren wurde dem Beschwerdeführer das Merkblatt für Asylsuchende ausgehändigt, in welchem er auf seine ihm obliegende Mitwirkungspflicht aufmerksam gemacht wurde. Zu Beginn der Anhörung wurden ihm die wichtigsten Mitwirkungspflichten in Erinnerung gerufen, und er wurde insbesondere auch aufgefordert, allfällig vorhandene Dokumente und alle Beweismittel vorzulegen. Das Bundesamt sah sich zu Recht nicht veranlasst, weitergehende Abklärungen - wie beispielsweise eine Botschaftsabklärung - in die Wege zu leiten. Die Rüge, der rechtserhebliche Sachverhalt sei von der Vorinstanz unvollständig respektive unrichtig festgestellt worden, erweist sich somit als unbegründet, weshalb das diesbezügliche Rechtsbegehren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einlässlicher Prüfung der Akten gelangt das Bundesverwaltungsgericht vorliegend zum Schluss, dass das BFM im Ergebnis zu Recht die gesuchsbegründenden Aussagen des Beschwerdeführers als den Anforderungen von Art. 7 AsylG an die Glaubhaftigkeit nicht entsprechend qualifiziert hat.</w:t>
      </w:r>
    </w:p>
    <w:p>
      <w:r>
        <w:rPr>
          <w:b/>
        </w:rPr>
        <w:t>E. 5.2</w:t>
      </w:r>
    </w:p>
    <w:p>
      <w:r>
        <w:t>Die Vorbringen auf Beschwerdeebene sind mangels Stichhaltigkeit insgesamt nicht geeignet, eine Änderung der angefochtenen Verfügung zu bewirken. Zwar wurde in der Beschwerde zutreffend eingewendet, es sei in Afghanistan entgegen den Erwägungen in der angefochtenen Verfügung durch-aus üblich, dass sich in erster Linie Frauen um Eheverhandlungen kümmern würden. Das BFM hat denn auch in seiner Vernehmlassung vom 29. Januar 2010 ausgeführt, Abklärungen hätten ergeben, dass dieser Einwand zutreffe. Anderseits ist festzustellen, dass sich der Beschwerdeführer in Bezug auf das angebliche Vorsprechen seiner Mutter bei der Familie seiner Freundin in Widersprüche verwickelt hat, da er bei der Erstbefragung erklärte, seine Mutter sei ohne Begleitung zur Familie der jungen Frau gegangen (Akten BFM A1/13 S. 5 f.), und anlässlich der Anhörung anführte, seine Mutter habe in Begleitung seiner Schwester und der Frau seines Onkels um die Hand von C._______ angehalten (A41/19 S. 4). Nicht zu überzeugen vermag in diesem Zusammenhang seine weitere Aussage, seine Mutter habe erst drei Monate nach Entdecken der Beziehung Eheverhandlungen aufgenommen (A 14/19 S. 9). Angesichts dieser Sachlage gelingt es dem Beschwerdeführer entgegen seinen Ausführungen in der Replik vom 18. Februar 2010 mit seinem berechtigten Einwand nicht, seine diesbezüglichen Aussagen glaubhafter erscheinen zu lassen. Der Beschwerdeführer vermag seine divergierenden Altersangaben auch auf Beschwerdeebene nicht zu erklären. Seine Argumentation, er habe sich in Griechenland verständlicherweise nicht als minderjährig zu erkennen geben wollen, um nicht länger in einem Lager festgehalten zu werden, erweist sich als wenig stichhaltig. Auch der weitere Erklärungsversuch, er sei bei der Kontrolle am Grenzübergang zur Schweiz von den Grenzbeamten eingeschüchtert worden und mangels Anwesenheit eines Übersetzers irrtümlicherweise davon ausgegangen, er könne aus drei an-gegebenen Jahreszahlen ein Geburtsjahr auswählen, vermag in keiner Weise zu überzeugen. Nicht nachvollziehbar ist zudem seine Antwort auf die Frage, weshalb er an der Grenze nicht sein tatsächliches Alter angegeben habe, er sei nicht ein so gebildeter Mensch, er habe das einfach so geschrieben (A 14/19 S. 14). Festzuhalten ist in diesem Zusammenhang, dass der Beschwerdeführer seine Altersangabe gegenüber den schweizerischen Grenzbeamten gemacht hat. Zudem ist davon auszugehen, dass der Beschwerdeführer nach seinen Erfahrungen im Zusammenhang mit seiner Anhaltung in Griechenland durchaus in der Lage war, zu verstehen, was die Beamten von ihm wollten. Der Tatsache, dass im eingereichten afghanischen Identitätsausweis als Geburtsdatum der (...) vermerkt ist, kommt für den Ausgang des Beschwerdeverfahrens selbst bei Annahme der Echtheit dieses Dokumentes keine relevante Bedeutung zu, zumal das BFM dem inzwischen mit Sicherheit volljährigen Beschwerdeführer im erstinstanzlichen Verfahren vor der Anhörung zu seinen Asylgründen eine Vertrauensperson beigeordnet hat. Der weitere Einwand, der Beschwerdeführer habe die fluchtauslösende erneute Auseinandersetzung mit C._______s Brüdern nicht schon deshalb bereits bei der Kurzbefragung erwähnt, weil ihn der Dolmetscher dazu angehalten habe, nur die ihm gestellten Fragen zu beantworten, erweist sich als wenig stichhaltig. Eine Durchsicht des Protokolls ergibt vielmehr, dass der Beschwerdeführer nach seinem freien Bericht zu seinen Asylgründen die Frage, ob er nun alle Gründe genannt habe, die zu seiner Ausreise aus Afghanistan geführt hätten, ausdrücklich bejahte (A1/13 S. 5), und im weiteren Verlauf der Befragung die Frage, ob es noch andere Gründe gebe, ausdrücklich verneinte (A 1/13 S. 6). Der Beschwerdeführer hätte somit ohne weiteres die Möglichkeit gehabt, nicht nur das fluchtauslösende Ereignis, sondern auch den angeblichen Angriff auf seinen Vater anlässlich dessen Besuchs bei der Familie von C._______ bereits bei der Befragung zu seiner Person vorzutragen. Da es sich bei diesen Aussagen um zentrale Vorbringen und nicht um Konkretisierungen von schon bei der Kurzbefragung geltend gemachten Ereignissen handelt, müssen diese als nachgeschoben und somit als unglaubhaft qualifiziert werden.</w:t>
      </w:r>
    </w:p>
    <w:p>
      <w:r>
        <w:rPr>
          <w:b/>
        </w:rPr>
        <w:t>E. 5.3</w:t>
      </w:r>
    </w:p>
    <w:p>
      <w:r>
        <w:t>Zusammenfassend folgt, dass es dem Beschwerdeführer nicht gelungen ist, Gründe nach Art. 3 AsylG nachzuweisen oder glaubhaft zu machen. Die Vorinstanz hat sein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7.3.1.1</w:t>
      </w:r>
    </w:p>
    <w:p>
      <w:r>
        <w:t>Zur allgemeinen Situation in Afghanistan ist auf das zur Publikation vorgesehene Urteil BVGE E-7625/2008 vom 16. Juni 2011 zu verweisen. Hinsichtlich der Lage in der Grossstadt Herat, wo der Beschwerdeführer eigenen Angaben zufolge (...) bis zu seiner Ausreise gelebt hat, ist das Bundesverwaltungsgericht in dem zur Publikation vorgesehenen Urteil BVGE D-2312/2009 vom 28. Oktober 2011 zur Erkenntnis gelangt, dass diese mit derjenigen in der Stadt Kabul vergleichbar und der Vollzug der Wegweisung dorthin grundsätzlich - vorbehältlich der in BVGE E-7625/2008 statuierten individuellen Voraussetzungen - zumutbar ist.</w:t>
      </w:r>
    </w:p>
    <w:p>
      <w:r>
        <w:rPr>
          <w:b/>
        </w:rPr>
        <w:t>E. 7.3.1.2</w:t>
      </w:r>
    </w:p>
    <w:p>
      <w:r>
        <w:t>Vorliegend ergeben sich aus den Akten keine individuellen Umstände, welche es rechtfertigen würden, den Vollzug der Wegweisung in die Stadt Herat als unzumutbar zu qualifizieren. Beim Beschwerdeführer handelt es sich um einen - soweit aktenkundig - gesunden jungen Mann, der seit seinem (...) Lebensjahr bis zur Ausreise (...) gearbeitet hat. Zudem verfügt er in (...) mit (...) über ein tragfähiges verwandtschaftliches Beziehungsnetz, dass ihm beim Wiederaufbau einer neuen Existenzgrundlage behilflich sein kann.</w:t>
      </w:r>
    </w:p>
    <w:p>
      <w:r>
        <w:rPr>
          <w:b/>
        </w:rPr>
        <w:t>E. 7.3.2</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Aufgrund der vorstehenden Erwägungen erübrigt sich eine Auseinandersetzung mit den weiteren Ausführungen auf Beschwerdeebene, da diese nicht geeignet sind, eine andere Beurteilung herbeizuführen.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VwVG). Aufgrund der Akten ergibt sich indessen, dass nach wie vor von der prozessualen Bedürftigkeit des Beschwerdeführers auszugehen ist, weshalb die am 1. Dezember 2009 verfügte Gutheissung des Gesuchs um Gewährung der unentgeltlichen Rechtspflege zu bestätigen und der Beschwerdeführer von der Bezahlung der Verfahrenskosten zu befreien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