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E-7324/2015 vom 18. Mai 2016</w:t>
      </w:r>
    </w:p>
    <w:p>
      <w:r>
        <w:t>Bundesverwaltungsgericht, 2016-05-18, DE</w:t>
      </w:r>
    </w:p>
    <w:p>
      <w:r>
        <w:rPr>
          <w:b/>
        </w:rPr>
        <w:t xml:space="preserve">Quelle: </w:t>
      </w:r>
      <w:r>
        <w:t>https://mcp.opencaselaw.ch/entscheid/bvger_E-7324_2015</w:t>
      </w:r>
    </w:p>
    <w:p>
      <w:r>
        <w:t>FR: TAF E-7324/2015 du 18 mai 2016</w:t>
      </w:r>
    </w:p>
    <w:p>
      <w:r>
        <w:t>IT: TAF E-7324/2015 del 18 maggio 2016</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beurteilt sie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solcher Nachteile und das Motiv ihrer Zufügung an. 4.2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4.3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Vorbringen des Beschwerdeführers wegen zahlreicher Unstimmigkeiten für unglaubhaft. So habe er an der Befragung in der Botschaft in Addis Abeba angegeben, man habe ihn an einem Kreuz angebracht, um ihn zu kreuzigen. An der Anhörung in Wabern habe er dagegen ausgesagt, er sei an einem Baum aufgehängt worden. An der Botschaftsbefragung habe er die Flucht im Jahre 2011 dahingehend geschildert, er habe unter dem Vorwand, die Notdurft zu verrichten, das Lager verlassen, um sich nach Äthiopien abzusetzen. An der Anhörung in der Schweiz habe er von dieser Version Abstand genommen und stattdessen angegeben, er sei wegen seiner (...)verletzung alleine zurückgelassen worden, während seine Einheit in corpore ausgerückt sei. Diese Gelegenheit habe er wahrgenommen. Von einem Asylsuchenden könne indes erwartet werden, dass er seine fluchtbegründenden Schlüsselerlebnisse sowie die Umstände der Flucht widerspruchsfrei und detailliert wiedergeben könne. Selbst bei Wahrunterstellung der geltend gemachten Haft und Folter nach der Rückschiebung aus dem Sudan im Jahre 2008 handle es sich dabei um eine mit der Haftentlassung im Jahre 2010 abgeschlossene Vorverfolgung. Aus den Akten seien keine Hinweise dafür ersichtlich, dass er mit beachtlicher Wahrscheinlichkeit und in absehbarer Zukunft weiteren staatlichen Verfolgungsmassnahmen ausgesetzt wäre, wenn er im Heimatland geblieben wäre. Selbst wenn man ihn nach seiner Haftentlassung weiterhin benachteiligt haben sollte, was er indes nicht überzeugend dargelegt habe, dürfte es sich dabei von ihrer Intensität und Art her nicht um asylbeachtliche Nachteile gehandelt haben. Die Vorinstanz ging davon aus, dass die Desertion in beiden vorgetragenen Varianten den Vorgesetzten erst nach der Flucht aufgefallen sein dürfte. Sie anerkannte den Beschwerdeführer wegen illegaler Ausreise als Flüchtling, lehnte sein Asylgesuch gestützt auf Art. 54 AsylG ab und nahm ihn entsprechend als Flüchtling vorläufig auf.</w:t>
      </w:r>
    </w:p>
    <w:p>
      <w:r>
        <w:rPr>
          <w:b/>
        </w:rPr>
        <w:t>E. 6</w:t>
      </w:r>
    </w:p>
    <w:p>
      <w:r>
        <w:t>Die Vorinstanz hat zu Recht die Glaubhaftigkeit der Vorfluchtgründe wegen erheblicher Widersprüche in zentralen Punkten verneint. Die Erklärungsversuche auf Beschwerdeebene überzeugen nicht. Sie sind teilweise aktenwidrig. Daran ändert auch der Umstand nichts, dass es sich lediglich um zwei ausdrücklich monierte Widersprüche handelt, zumal diese entgegen der Beschwerde, wie die Vorinstanz zutreffend ausgeführt hat, schwer wiegen. Ausserdem wären weitere Ungereimtheiten anzuführen, so etwa die widersprüchlichen Datumsangaben betreffend die Flucht nach Äthiopien. Der Vorinstanz ist ebenfalls darin beizupflichten, dass selbst bei Wahrunterstellung der Vorbringen deren Asylrelevanz zu verneinen ist. Was die geltend gemachte Folter im Jahre 2008 betrifft, ist, wie die Vor-instanz zutreffend ausgeführt hat, davon auszugehen, dass sie mit der Haftentlassung im Jahre 2010 abgeschlossen ist, die Asylrelevanz also mangels Aktualität respektive, soweit Nachteile anhalten sollten, mangels asylbeachtlicher Intensität zu verneinen ist. Entgegen der Beschwerde befasst sich der angerufene BVGE 2015/3 E.5 lediglich mit der Flüchtlingseigenschaft, welche vorliegend von der Vorinstanz anerkannt worden ist, nicht aber mit der Gewährung von Asyl. Vorliegend fallen aufgrund der Umstände - bei Wahrunterstellung der Vorbringen, soweit diese aufgrund der widersprüchlichen Angaben überhaupt festgelegt werden können - Desertion und Republikflucht in einem Akt zusammen. Entscheidend ist der Befund der Vorinstanz, dass nicht von Verfolgungsmassnahmen auszugehen wäre, wenn er seine Heimat nicht verlassen hätte. Es ist zu betonen, dass aber gerade die Flucht aus der Station sowie aus dem Land widersprüchlich geschildert worden sind und die Erklärungsversuche aktenwidrig sind. Die angegebene Flucht ist in besonderem Masse unglaubhaft. Nach dem Gesagten hat die Vorinstanz das Bestehen von Vorfluchtgründen zu Recht verneint und das Asylgesuch unter Anerkennung der Flüchtlingseigenschaft gestützt auf Art. 54 AsylG zu Recht abgelehnt.</w:t>
      </w:r>
    </w:p>
    <w:p>
      <w:r>
        <w:rPr>
          <w:b/>
        </w:rPr>
        <w:t>E. 7</w:t>
      </w:r>
    </w:p>
    <w:p>
      <w:r>
        <w:t>Gemäss Art. 44 AsylG verfügt das Staatssekretariat in der Regel die Wegweisung aus der Schweiz, wenn es das Asylgesuch ablehnt oder darauf nicht eintritt. Der Beschwerdeführer verfügt in der Schweiz weder über eine ausländerrechtliche Aufenthaltsbewilligung noch über einen Anspruch auf Erteilung einer solchen (vgl. BVGE 2009/50 E. 9). Die Wegweisung ist nicht zu beanstanden (Art. 44 AsylG; vgl. BVGE 2013/37 E 4.4; 2009/50 E. 9, je m.w.H.).</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