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E-7323/2014 vom 13. April 2014</w:t>
      </w:r>
    </w:p>
    <w:p>
      <w:r>
        <w:t>Bundesverwaltungsgericht, 2014-04-13, DE</w:t>
      </w:r>
    </w:p>
    <w:p>
      <w:r>
        <w:rPr>
          <w:b/>
        </w:rPr>
        <w:t xml:space="preserve">Quelle: </w:t>
      </w:r>
      <w:r>
        <w:t>https://mcp.opencaselaw.ch/entscheid/bvger_E-7323_2014</w:t>
      </w:r>
    </w:p>
    <w:p>
      <w:r>
        <w:t>FR: TAF E-7323/2014 du 13 avril 2014</w:t>
      </w:r>
    </w:p>
    <w:p>
      <w:r>
        <w:t>IT: TAF E-7323/2014 del 13 aprile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und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Nichteintretensentscheids und damit auch nicht des vorliegenden Verfahrens.</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4.4</w:t>
      </w:r>
    </w:p>
    <w:p>
      <w:r>
        <w:t>Der nach dieser Verordnung zuständige Mitgliedstaat ist verpflichtet, eine gesuchstellende Person, die in einem anderen Mitgliedstaat einen Antrag gestellt hat, nach Massgabe der Art. 21, 22 und 29 Dublin-III-VO aufzunehmen (Art. 18 Abs. 1 Bst. a Dublin-III-VO).</w:t>
      </w:r>
    </w:p>
    <w:p>
      <w:r>
        <w:rPr>
          <w:b/>
        </w:rPr>
        <w:t>E. 4.5</w:t>
      </w:r>
    </w:p>
    <w:p>
      <w:r>
        <w:t>Diese Verpflichtung nach Art. 18 Abs. 1 Bst. c oder d Dublin-III-VO erlischt, wenn die gesuchstellende Person das Herrschaftsgebiet der Mitgliedstaaten während einer Dauer von mindestens drei Monaten verlassen hat, ausser sie verfüge über einen durch den zuständigen Mitgliedstaat ausgestellten Aufenthaltstitel (vgl. Art. 19 Abs. 2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w:t>
      </w:r>
    </w:p>
    <w:p>
      <w:r>
        <w:t>Ein Fingerabdruckabgleich mit der Eurodac-Datenbank ergab, dass der Beschwerdeführer am 6. August 2013, am 24. September sowie am 15. Oktober 2014 und die Beschwerdeführerin am 24. September sowie am 15. Oktober 2014 in Ungarn um Asyl nachgesucht hatten, woraufhin die Vorinstanz die ungarischen Behörden am 20. November 2014 um Übernahme der Beschwerdeführenden gestützt auf Art. 18 Abs. 1 Bst. b Dublin-III-VO ersuchte. Die ungarischen Behörden hiessen die jeweiligen Gesuche am 27. November 2014 gestützt auf Art. 18 Abs. 1 Bst. d Dublin-III-VO gut. Dabei vermögen weder die im Rahmen der Gewährung des rechtlichen Gehörs geäusserten Einwände noch die weiteren auf Beschwerdeebene geltend gemachten Vorbringen an der Zuständigkeit Ungarns für die Durchführung des vorliegenden Asyl- und Wegweisungsverfahrens etwas zu ändern. Etwas anderes lässt sich auch nicht aus dem Umstand ableiten, dass die volljährigen Kinder sowie die Ehefrau F._______ des Beschwerdeführers in der Schweiz vorläufig aufgenommen sind. Durch die ausdrückliche Zustimmung der ungarischen Behörden zur Wiederaufnahme der Beschwerdeführenden wurde die grundsätzliche Zuständigkeit Ungarns zur Durchführung des vorliegenden Asyl- und Wegweisungsverfahrens perpetuiert. Der Vollständigkeit halber ist festzuhalten, dass die Dublin-III-VO den Schutzsuchenden kein Recht einräumt, den ihren Antrag prüfenden Staat selber auszuwählen (vgl. auch BVGE 2010/45 E. 8.3).</w:t>
      </w:r>
    </w:p>
    <w:p>
      <w:r>
        <w:rPr>
          <w:b/>
        </w:rPr>
        <w:t>E. 6.1</w:t>
      </w:r>
    </w:p>
    <w:p>
      <w:r>
        <w:t>Im Lichte von Art. 3 Abs. 2 Dublin-III-VO ist weiter zu prüfen, ob es wesentliche Gründe für die Annahme gibt, das Asylverfahren und die Aufnahmebedingungen für Asylsuchende in Ungarn würden systemische Schwachstellen aufweisen, die eine Gefahr einer unmenschlichen oder entwürdigenden Behandlung im Sinne des Art. 4 der EU-Grundrechte-charta mit sich bringen würden, beziehungsweise es ist der Frage nachzugehen, ob für die Beschwerdeführenden in einer individuellen Betrachtung eine Gefährdung nach Art. 3 EMRK aufgezeigt ist.</w:t>
      </w:r>
    </w:p>
    <w:p>
      <w:r>
        <w:rPr>
          <w:b/>
        </w:rPr>
        <w:t>E. 6.2</w:t>
      </w:r>
    </w:p>
    <w:p>
      <w:r>
        <w:t>Ungarn ist Signatarstaat der EMRK, der FK und der FoK. Unter dem Dublin-System besteht grundsätzlich die Vermutung, dass alle Mitgliedstaaten beziehungsweise staatsvertraglich assoziierten Staaten die völkerrechtlichen Mindestanforderungen an ein korrektes Asylverfahren einhalten. Diese Vermutung kann umgestossen werden, wenn nachgewiesen wird, dass eine reale Gefahr einer völkerrechtswidrigen Ausschaffung besteht. Das Bundesverwaltungsgericht hat sich in seinem Leiturteil E 2093/2012 vom 9. Oktober 2013 eingehend mit der aktuellen Lageentwicklung für Asylsuchende in Ungarn auseinandergesetzt. Dabei hat es die Widerlegbarkeit der grundsätzlichen Vermutung, wonach die Dublin-Mitgliedsta-aten ihren völkerrechtlichen Pflichten sowie ihren Pflichten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nachkommen würden, bekräftigt (vgl. Urteil, a.a.O., E. 4.2 f. mit Hinweisen auf BVGE 2011/35 und 2010/45). Mit Blick auf die vergangene und die derzeit herrschende Situation von Asylsuchenden in Ungarn hat es das Vorhandensein systemischer Mängel zwar verneint. Es kam jedoch - analog der Rechtsprechung zu Malta im Dublin-Kontext (vgl. BVGE 2012/27 E. 7.4) - zum Schluss, dass sich die Vermutung, Ungarn beachte die den betroffenen Personen im Gemeinsamen Europäischen Asylsystem zustehenden Grundrechte in angemessener Weise, nicht mehr ohne weiteres aufrechterhalten lasse. Die im Rahmen eines Dublin-Verfahrens nach Ungarn überstellten Personen würden zwar nicht generell verhaftet, und es müsse auch nicht davon ausgegangen werden, sie hätten im Allgemeinen keinen Zugang zu einem ordnungsgemässen Asylverfahren, jedoch müsse von Amtes wegen im Einzelfall geprüft werden, ob eine Überstellung dorthin zulässig ist, wobei der Zurechenbarkeit der Beschwerdeführenden zu einer besonders verletzlichen Personengruppe Rechnung zu tragen sei (vgl. Urteil, a.a.O., E. 9 ff.).</w:t>
      </w:r>
    </w:p>
    <w:p>
      <w:r>
        <w:rPr>
          <w:b/>
        </w:rPr>
        <w:t>E. 6.3</w:t>
      </w:r>
    </w:p>
    <w:p>
      <w:r>
        <w:t>Die Beschwerdeführenden gehören als Familie mit drei minderjährigen Kindern zu einer Gruppe, welcher ein besonderes Augenmerk zu schenken ist. Demnach ist vorliegend eine sorgfältige Abklärung allfällig vorhandener Überstellungshindernisse angezeigt, welche ihrer Zugehörigkeit zu einer besonders verwundbaren Gruppe Rechnung zu tragen hat. Die Beschwerdeführenden haben jedoch substantiiert darzulegen, gestützt auf welche konkreten Hinweise anzunehmen sei, die zuständigen Behörden würden in ihrem Fall ihre staatsvertraglichen Verpflichtungen nicht respektieren und ihnen den notwendigen Schutz verweigern.</w:t>
      </w:r>
    </w:p>
    <w:p>
      <w:r>
        <w:rPr>
          <w:b/>
        </w:rPr>
        <w:t>E. 7.1</w:t>
      </w:r>
    </w:p>
    <w:p>
      <w:r>
        <w:t>Gemäss Auskunft der ungarischen Behörden sei das von den Beschwerdeführenden in Ungarn gestellte Asylgesuch am 21. Oktober 2014 abgewiesen worden, woraufhin sie alsbald verschwunden seien. Eine Verletzung von völkerrechtlicher Pflichten im Rahmen des in Ungarn durchgeführten Asyl- und Wegweisungsverfahrens lässt sich indes nicht erkennen. Die Beschwerdeführenden legen insbesondere nicht dar, inwiefern gerade in ihrem Fall eine Überschreitung der Grenze der Rechtmässigkeit vorliegt beziehungsweise zu befürchten ist. Vielmehr ist aktenkundig, dass sie am 24. September und 15. Oktober 2014 in Ungarn um Asyl ersucht und das Land nach der Abweisung ihrer Asylgesuche verlassen haben. Es bestehen somit keine genügend konkreten Hinweise darauf, dass sie in Ungarn nicht Zugang zu einem rechtsstaatlichen Verfahren im Sinne des Dublin-Systems gehabt hätten. Weiter besteht auch kein Grund zur Annahme, dass ihnen und ihren Kindern in Bezug auf die Unterbringung sowie ihre besonderen Bedürfnisse nicht genügend Rechnung getragen wurde. Diesbezüglich kann auf die zutreffenden vor-instanzlichen Erwägungen verwiesen werden. Dass sodann im Falle einer Rückkehr Ungarn allenfalls eine Ausschaffungs- beziehungsweise Durchsetzungshaft anordnen wird, entspricht grundsätzlich auch dem Vorgehen der hiesigen Behörden, wonach nach einem rechtskräftig negativen Asyl- und Wegweisungsentscheid zur Sicherstellung des Vollzugs Zwangsmassnahmen in Form von Haft (vgl. Art. 76 sowie 78 AuG) angeordnet werden können. Im Übrigen wurde nicht rechsgenüglich dargetan, die sie bei einer Rückführung erwartenden Bedingungen in Ungarn seien derart schlecht, dass sie zu einer Verletzung von Art. 3 EMRK oder Art. 3 FoK führen könnten und sie in eine existentielle Notlage geraten würden. Den Akten sind denn auch keine Gründe für die Annahme zu entnehmen, Ungarn werde im vorliegenden Fall den Grundsatz des Non-Refoulement missachten und die Beschwerdeführenden zur Ausreise in ein Land zwingen, in dem ihr Leib, ihr Leben oder ihre Freiheit aus einem Grund nach Art. 3 Abs. 1 AsylG gefährdet ist oder in dem sie Gefahr laufen würden, zur Ausreise in ein solches Land gezwungen zu werden. Weiter kann auch aus dem aufgerufenen Urteil des EGMR im Fall Tarakhel gegen die Schweiz nichts zu ihren Gunsten abgeleitet werden, da sich dieser Entscheid auf die Lage betreffend Unterbringung in Italien bezieht und sich daraus die Verpflichtung für die Schweiz ergibt, vor der Rückschiebung einer Familie zur Verhinderung einer Verletzung von Art. 3 EMRK von den italienischen Behörden eine Zusicherung einzuholen, dass in Italien eine altersgerechte Beherbergung für die Kinder und die Einheit der Familie gewährleistet sei. Laut Rechtsprechung des Bundesverwaltungsgerichts (vgl. E. 6.2) weisen das Asylverfahren und die Aufnahmebedingungen für Antragstellende in Ungarn grundsätzlich keine systemischen Schwachstellen auf, die eine Gefahr einer unmenschlichen oder entwürdigenden Behandlung im Sinne von Art. 4 der EU-Grundrechtecharta mit sich bringen. An dieser Feststellung vermögen auch die in der Beschwerde aufgeführten Berichte nichts zu ändern, zumal im konkreten Fall den Bedürfnissen der Beschwerdeführenden als vulnerable Personen mit den vorinstanzlichen Erwägungen genügend Rechnung getragen wurde.</w:t>
      </w:r>
    </w:p>
    <w:p>
      <w:r>
        <w:rPr>
          <w:b/>
        </w:rPr>
        <w:t>E. 7.2</w:t>
      </w:r>
    </w:p>
    <w:p>
      <w:r>
        <w:t>Weiter wird auf Beschwerdestufe der Selbsteintritt der Schweiz mit der Zugehörigkeit der Beschwerdeführenden zur ethnischen Minderheit der Roma begründet, da Roma im Allgemeinen in Ungarn vielfältigen Formen von Diskriminierungen ausgesetzt seien. Es bestehe die Gefahr, dass sie aufgrund ihrer Ethnie kein faires Verfahren im Sinne von Art. 6 EMRK erhalten hätten. Die Ausführungen zur drohenden Verletzung von Art. 6 EMRK sind vorliegend unbeachtlich, da der Anspruchsbereich dieser Bestimmung auf zivil- und strafrechtliche Verfahren begrenzt ist. Die Beschwerdeführenden haben darüber hinaus kein konkretes und ernsthaftes Risiko dargetan, die ungarischen Behörden hätten ihren Antrag auf internationalen Schutz nicht unter Einhaltung der Regeln der Verfahrensrichtlinie geprüft. Der generelle Hinweis auf ihre ethnische Zugehörigkeit und diesbezügliche allfällig drohende Diskriminierung genügt jedenfalls nicht.</w:t>
      </w:r>
    </w:p>
    <w:p>
      <w:r>
        <w:rPr>
          <w:b/>
        </w:rPr>
        <w:t>E. 7.3</w:t>
      </w:r>
    </w:p>
    <w:p>
      <w:r>
        <w:t>Hinsichtlich der gesundheitlichen Probleme der Beschwerdeführerin (vgl. A11/11 S. 8) ist festzustellen,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Dies trifft für die Situation der Beschwerdeführerin offensichtlich nicht zu. Im Übrigen obliegt es ihr, falls erforderlich, sich diesbezüglich an die zuständigen Behörden vor Ort zu wenden.</w:t>
      </w:r>
    </w:p>
    <w:p>
      <w:r>
        <w:rPr>
          <w:b/>
        </w:rPr>
        <w:t>E. 7.4</w:t>
      </w:r>
    </w:p>
    <w:p>
      <w:r>
        <w:t>Demzufolge ist die Vermutung, gemäss welcher Ungarn seine völker-rechtlichen Verpflichtungen einhalte, mangels ausreichender Anhaltspunkte nicht widerlegt (vgl. BVGE 2010/45 E. 7.4 f.). Die Vorinstanz ist deshalb zu Recht davon ausgegangen, dass im vorliegenden Einzelfall keine Hinweise vorliegen, die auf eine abweichende Einschätzung hinsichtlich der Zulässigkeit einer Überstellung nach Ungarn hindeuten würden. Unter diesen Umständen ist die Anwendung von Art. 3 Abs. 2 Satz 2 Dublin-III-VO nicht gerechtfertigt.</w:t>
      </w:r>
    </w:p>
    <w:p>
      <w:r>
        <w:rPr>
          <w:b/>
        </w:rPr>
        <w:t>E. 8</w:t>
      </w:r>
    </w:p>
    <w:p>
      <w:r>
        <w:t>Die Beschwerdeführenden berufen sich sodann explizit auf Art. 17 Abs. 1 Dublin-III-VO i.V.m. Art. 29a Abs. 3 der Asylverordnung 1 vom 11. August 1999 (AsylV 1, SR 142.311). Die Ermessensklausel von Art. 17 Abs. 1 Dublin-III-VO ist nicht direkt, sondern nur in Verbindung mit einer anderen Norm des nationalen (namentlich Art. 29a Abs. 3 AsylV 1) oder internationalen Rechts anwendbar (BVGE 2010/45 E. 5). Art. 29a Abs. 3 AsylV 1 sieht vor, dass das SEM aus humanitären Gründen ein Gesuch behandeln kann, auch wenn eine Prüfung ergeben hat, dass ein anderer Staat zuständig wäre. Es handelt sich dabei um eine Kann-Bestimmung, die dem SEM über die zwingenden Regeln des übergeordneten Rechts hinaus einen gewissen Ermessensspielraum lässt (vgl. BVGE 2010/45 E. 8.2.2 und BVGE 2011/9 E. 8.1 f.). Mit der Aufhebung von Art. 106 Abs. 1 Bst. c aAsylG (in Kraft seit 1. Februar 2014) kann der Beschwerdegrund der Unangemessenheit vor dem Bundesverwaltungsgericht nicht mehr gerügt werden. In seinem zur Publikation vorgesehenen Urteil E-641/2014 vom 13. März 2015 zur Ermessensüberprüfung hielt das Bundesverwaltungsgericht fest, dass dem Gericht im Rahmen von Art. 17 Abs. 1 Dublin-III-VO i.V.m. Art. 29a Abs. 3 AsylV1 keine Beurteilungskompetenz in Bezug auf den Ermessensentscheid des SEM (mehr) zukommt. Das Bundesverwaltungsgericht greift nur ein, wenn das Staatsekretariat das ihm eingeräumte Ermessen über- beziehungsweise unterschreitet oder missbraucht und damit Bundesrecht verletzt, was vorliegend nicht der Fall ist.</w:t>
      </w:r>
    </w:p>
    <w:p>
      <w:r>
        <w:rPr>
          <w:b/>
        </w:rPr>
        <w:t>E. 9.1</w:t>
      </w:r>
    </w:p>
    <w:p>
      <w:r>
        <w:t>Somit kann weder dem Hauptantrag auf Aufhebung der angefochtenen Verfügung sowie Durchführung des nationalen Asylverfahrens noch dem Eventualantrag auf vorgängiges Einholen schriftlicher Garantien der zuständigen ungarischen Behörden für eine gemeinsame und menschenwürdige Unterbringung und Betreuung der Beschwerdeführenden entsprochen werden. Das SEM ist nach dem Gesagten zu Recht auf ihre Asylgesuche nicht eingetreten.</w:t>
      </w:r>
    </w:p>
    <w:p>
      <w:r>
        <w:rPr>
          <w:b/>
        </w:rPr>
        <w:t>E. 9.2</w:t>
      </w:r>
    </w:p>
    <w:p>
      <w:r>
        <w:t>Die Beschwerdeführenden sind auch nicht im Besitz einer gültigen Aufenthalts- oder Niederlassungsbewilligung, weshalb die Überstellung nach Ungarn in Anwendung von Art. 44 AsylG ebenfalls zu Recht angeordnet wurde (Art. 32 Bst. a AsylV 1).</w:t>
      </w:r>
    </w:p>
    <w:p>
      <w:r>
        <w:rPr>
          <w:b/>
        </w:rPr>
        <w:t>E. 9.3</w:t>
      </w:r>
    </w:p>
    <w:p>
      <w:r>
        <w:t>Da das Fehlen von Wegweisungsvollzugshindernissen bereits Voraussetzung des Nichteintretensentscheides gemäss Art. 31a Abs. 1 Bst. b AsylG ist, sind unter diesen Umständen allfällige Vollzugshindernisse gemäss Art. 83 Abs. 3 und 4 AuG nicht mehr zu prüfen (vgl. BVGE 2010/45 E. 10).</w:t>
      </w:r>
    </w:p>
    <w:p>
      <w:r>
        <w:rPr>
          <w:b/>
        </w:rPr>
        <w:t>E. 9.4</w:t>
      </w:r>
    </w:p>
    <w:p>
      <w:r>
        <w:t>Allerdings ist dem Umstand, dass der Beschwerdeführer gedroht hat, er werde seine Familie und sich umbringen, sollt er nach Ungarn zurückkehren müssen (vgl. A16/2 S. 2), im Rahmen der Ausgestaltung der Vollzugsmodalitäten unbedingt Rechnung zu tragen. Bei der Überstellung von der Schweiz nach Ungarn muss dem allfälligen Risiko einer Selbst- und Fremdgefährdung mit geeigneten Massnahmen entgegengewirkt werden. Des Weiteren ist sicherzustellen, dass die ungarischen Behörden bei der Ankunft über diese Problematik und die diesbezüglichen Schutzbedürfnisse präzise sowie umfassend informiert sind. Der Rechtsvertreter wird im Übrigen ersucht, bevor er das vorliegende Urteil seinen Mandanten eröffnet, mit dem SEM beziehungsweise dem zuständigen Migrationsamt Kontakt aufzunehmen, um mit den Behörden gemeinsam die erforderlichen Massnahmen zu treffen.</w:t>
      </w:r>
    </w:p>
    <w:p>
      <w:r>
        <w:rPr>
          <w:b/>
        </w:rPr>
        <w:t>E. 10</w:t>
      </w:r>
    </w:p>
    <w:p>
      <w:r>
        <w:t>Nach dem Gesagten ist die Beschwerde abzuweisen und die Verfügung des SEM zu bestätigen.</w:t>
      </w:r>
    </w:p>
    <w:p>
      <w:r>
        <w:rPr>
          <w:b/>
        </w:rPr>
        <w:t>E. 11</w:t>
      </w:r>
    </w:p>
    <w:p>
      <w:r>
        <w:t>Bei diesem Ausgang des Verfahrens wären die Kosten grundsätzlich den Beschwerdeführenden aufzuerlegen (Art. 63 Abs. 1 VwVG). Gestützt auf Art. 63 Abs. 1 letzter Satz VwVG ist darauf indessen ausnahmsweise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