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E-7319/2017 vom 13. April 2018</w:t>
      </w:r>
    </w:p>
    <w:p>
      <w:r>
        <w:t>Bundesverwaltungsgericht, 2018-04-13, DE</w:t>
      </w:r>
    </w:p>
    <w:p>
      <w:r>
        <w:rPr>
          <w:b/>
        </w:rPr>
        <w:t xml:space="preserve">Quelle: </w:t>
      </w:r>
      <w:r>
        <w:t>https://mcp.opencaselaw.ch/entscheid/bvger_E-7319_2017</w:t>
      </w:r>
    </w:p>
    <w:p>
      <w:r>
        <w:t>FR: TAF E-7319/2017 du 13 avril 2018</w:t>
      </w:r>
    </w:p>
    <w:p>
      <w:r>
        <w:t>IT: TAF E-7319/2017 del 13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Seitens des Beschwerdeführers wird gerügt, die Vorinstanz habe den Untersuchungsgrundsatz verletzt, indem sie den Sachverhalt unrichtig und unvollständig abgeklärt habe. Diese Rüge ist vorab zu beurteilen, da sie allenfalls zu einer Kassation der vorinstanzlichen Verfügung führen könnte. Der Beschwerdeführer bringt diesbezüglich vor, die Befragerin habe anlässlich der Anhörung durch einen unsachgemässen Befragungsstil eine angespannte Atmosphäre geschaffen. Weiter seien zentrale Aspekte (zur Folter anlässlich seiner Inhaftierung) nicht genauer überprüft worden. Schliesslich habe das SEM seine Staatsbürgerschaft nicht abgeklärt.</w:t>
      </w:r>
    </w:p>
    <w:p>
      <w:r>
        <w:rPr>
          <w:b/>
        </w:rPr>
        <w:t>E. 3.1</w:t>
      </w:r>
    </w:p>
    <w:p>
      <w:r>
        <w:t>Gemäss Art. 6 AsylG i.V.m. Art. 12 VwVG stellen die Asylbehörden den Sachverhalt von Amtes wegen fest (Untersuchungsgrundsatz).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Kölz/Häner/Bertschi, Verwaltungsverfahren und Verwaltungsrechtspflege des Bundes, 3. Aufl. 2013, N. 629 ff.; Christoph Auer, in: Auer/Müller/Schindler [Hrsg.], Kommentar zum Bundesgesetz über das Verwaltungsverfahren [VwVG], 2008, Rz. 15 zu Art. 12; Benjamin Schindler, in: Auer/Müller/Schindler [Hrsg.], a.a.O., Rz. 28 zu Art. 49).</w:t>
      </w:r>
    </w:p>
    <w:p>
      <w:r>
        <w:rPr>
          <w:b/>
        </w:rPr>
        <w:t>E. 3.2</w:t>
      </w:r>
    </w:p>
    <w:p>
      <w:r>
        <w:t>Bei Durchsicht des Anhörungsprotokolls vom 14. September 2017 fällt auf, dass sich die vom Beschwerdeführer vorgebrachten Einwände gegen den Befragungsstil der zuständigen Sachbearbeiterin ansatzweise als berechtigt erweisen. Es trifft zu, dass der Befragungsstil mitunter etwas befremdet; so sind die wiederholten Einwürfe der Befragerin auf die Antworten, sie finde diese "merkwürdig", kaum sehr hilfreich, und auch ihre kritischen Bemerkungen bei der Schilderung des Beschwerdeführers betreffend seine Inhaftierung (vgl. beispielsweise Akten des Asylverfahrens, A20/22, F 119, 124) wirken nicht aufbauend. Dass er aber dadurch in seinem Aussageverhalten zu seinen Ungunsten entscheidrelevant beeinflusst worden wäre, kann zum einen den Akten nicht entnommen werden, war er doch in der Lage, die Fluchtgründe aus seiner Sicht immer wieder darzulegen. Zum anderen verzichtete auch die Hilfswerksvertretung darauf, im Rahmen der ihr eingeräumten Möglichkeit Einwände zum Befragungsstil vorzubringen, und am Schluss bestätigte der Beschwerdeführer sodann auch die Korrektheit des Protokolls. Diesem sind weiter keine Hinweise zu entnehmen, dass anlässlich der Anhörung eine durchgehend schlechte Atmosphäre geherrscht hätte, welche den Beschwerdeführer daran hinderte, seine Asylgründe umfassend darzulegen. Schliesslich gab er am Ende der Anhörung selber an, er habe alle seine Gründe darlegen können (vgl. Akten des Asylverfahrens, A20/22, F 203). Nach dem Gesagten muss er sich auf seinen Aussagen behaften lassen. Die Rüge geht entsprechend fehl.</w:t>
      </w:r>
    </w:p>
    <w:p>
      <w:r>
        <w:rPr>
          <w:b/>
        </w:rPr>
        <w:t>E. 3.3</w:t>
      </w:r>
    </w:p>
    <w:p>
      <w:r>
        <w:t>Bezüglich des Vorbringens des Beschwerdeführers, das SEM hätte ihm weitere Fragen zu der Folter stellen müssen, ist darauf hinzuweisen, dass ihm mehrfach Gelegenheit geboten wurde, seine Inhaftierungen (anlässlich welchen er gefoltert worden sein solle) zu schildern. In diesem Zusammenhang wurden ihm sodann mehrere Rückfragen gestellt (vgl. beispielhaft Akten des Asylverfahrens, A 20/22 F 71 ff., 119 ff.) und er wurde aufgefordert, seine Vorbringen detailliert darzulegen. Es ist nicht Aufgabe der Vorinstanz, hier weitergehend Einfluss zu nehmen und auf detailliertere Aussagen hinzuwirken. Ferner ist anzumerken, dass sich der Beschwerdeführer zu der angeblichen Folter äussern konnte (vgl. Akten des Asylverfahrens, A20/22, F 71 f., 199). Aus der Tatsache, dass er von der Hilfswerksvertretung, und nicht von der Befragerin, aufgefordert wurde, mehr zu der angeblich erlebten Folter zu erzählen, ist ihm ausserdem kein Nachteil erwachsen. Schliesslich ist diesbezüglich anzumerken, dass er selber bestätigt hat, alles für sein Asylgesuch Wesentliche gesagt zu haben (vgl. Akten des Asylverfahrens, A20/22, F 203) und anlässlich seiner Rechtsmitteleingabe auch keine entsprechenden Ergänzungen mehr anbrachte.</w:t>
      </w:r>
    </w:p>
    <w:p>
      <w:r>
        <w:rPr>
          <w:b/>
        </w:rPr>
        <w:t>E. 3.4</w:t>
      </w:r>
    </w:p>
    <w:p>
      <w:r>
        <w:t>Weiter rügt der Beschwerdeführer, die Vorinstanz habe seine Staatsangehörigkeit nicht gründlich abgeklärt. Diesbezüglich ist festzuhalten, dass er gemäss eigenen Angaben in F._______ geboren wurde und bis zu seiner Ausreise in C._______, woher auch seine Eltern stammen, gelebt hat (vgl. Akten des Asylverfahrens, A20/22, F 8 ff., 149 ff.). Die Vorinstanz stellte richtigerweise fest, dass dieses Gebiet geografisch und politisch zu Äthiopien gehört. Der Beschwerdeführer bestätigte sodann, dass er die äthiopische Staatsangehörigkeit besitze (vgl. Akten des Asylverfahrens, A20/22, F 158 ff.). Aufgrund seiner Ausführungen zu seiner Herkunft und insbesondere aufgrund seiner Bestätigung, es handle sich beim ihm um einen ethnischen Somali mit äthiopischer Staatsbürgerschaft, bestand für das SEM kein Anlass, diesbezüglich weitere Abklärungen zu tätigen.</w:t>
      </w:r>
    </w:p>
    <w:p>
      <w:r>
        <w:rPr>
          <w:b/>
        </w:rPr>
        <w:t>E. 3.5</w:t>
      </w:r>
    </w:p>
    <w:p>
      <w:r>
        <w:t>Zusammenfassend erweisen sich die formellen Rügen als unbegründet und es besteht keine Veranlassung, die Sache aus formellen Gründen aufzuheben und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Vorbringen des Beschwerdeführers als den Anforderungen an Art. 7 AsylG nicht genügend. So habe dieser nicht plausibel darlegen können, weshalb ausgerechnet er für die nächtliche Überwachung des Kebele-Büros ausgewählt worden sei. Weiter habe er sich widersprüchlich zum Zeitpunkt seiner Verhaftung geäussert und er sei nicht in der Lage gewesen, diese genau zu beschreiben. Dasselbe gelte für die anschliessende Zeit auf der Polizeistation und im Liyu-Gefängnis. Auch nach mehrfachem Hinweis seien seine Schilderungen zu seinem Aufenthalt im Liyu-Gefängnis nicht ausführlicher ausgefallen. Ferner sei er der Bitte, er solle genau erklären, wie er die geschilderte Kundgebung in Addis Abeba erlebt habe, nicht nachgekommen und habe widersprüchliche Angaben zum Ablauf seiner Flucht von der Station gemacht. Weshalb man ausgerechnet ihn als Soldat habe rekrutieren wollen, wo ihm doch eine Parteimitgliedschaft bei der UBO unterstellt worden sei, habe er nicht plausibel zu erklären vermocht. Schliesslich würden auch seine zeitlichen Angaben zum Aufenthalt in C._______ nicht übereinstimmen und im Widerspruch zum angeblichen Ausreisedatum stehen. Die geltend gemachten Ausreisegründe seien demnach aufgrund seiner unplausiblen, unsubstantiierten und unstimmigen Aussagen nicht glaubhaft, weshalb auch auf eine eingehende Würdigung der Beweismittel verzichtet werden könne. Im Übrigen handle es sich beim abgegebenen Dokument ohnehin um eine Kopie ohne Beweiswert.</w:t>
      </w:r>
    </w:p>
    <w:p>
      <w:r>
        <w:rPr>
          <w:b/>
        </w:rPr>
        <w:t>E. 5.2</w:t>
      </w:r>
    </w:p>
    <w:p>
      <w:r>
        <w:t>Im Rahmen der Vernehmlassung vom 17. Januar 2018 äusserte sich das SEM - unter Festhaltung an seinen Erwägungen - nur zum Befragungsstil der Sachbearbeiterin (vgl. Bst. G des Sachverhalts).</w:t>
      </w:r>
    </w:p>
    <w:p>
      <w:r>
        <w:rPr>
          <w:b/>
        </w:rPr>
        <w:t>E. 5.3</w:t>
      </w:r>
    </w:p>
    <w:p>
      <w:r>
        <w:t>Der Beschwerdeführer brachte in seiner Rechtsmitteleingabe dagegen vor, er habe nie behauptet, speziell für die Arbeit beim Kebele-Büro ausgewählt worden zu sein. Er habe mehrmals geltend gemacht, dass es sich um eine zwangsmässig durchgeführte und unbezahlte Arbeit gehandelt habe. Die Behauptungen der Vorinstanz seien damit nicht nachvollziehbar. Es sei kaum davon auszugehen, dass im Rahmen von Zwangsarbeit kontrolliert werde, ob eine Person über Papiere verfüge. Den herabgesetzten Beweisanforderungen im Rahmen von Art. 7 AsylG habe die Vorinstanz keine Rechnung getragen. Trotz der schwierigen Umstände während der Anhörung sei es ihm gelungen, seine Fluchtgründe vollständig und nachvollziehbar zu schildern.</w:t>
      </w:r>
    </w:p>
    <w:p>
      <w:r>
        <w:rPr>
          <w:b/>
        </w:rPr>
        <w:t>E. 5.4</w:t>
      </w:r>
    </w:p>
    <w:p>
      <w:r>
        <w:t>Das Bundesverwaltungsgericht geht nach Durchsicht der Akten davon aus, dass das SEM die Vorbringen des Beschwerdeführers betreffend die Ereignisse vor seiner Ausreise aus Äthiopien zu Recht als unglaubhaft einstufte.</w:t>
      </w:r>
    </w:p>
    <w:p>
      <w:r>
        <w:rPr>
          <w:b/>
        </w:rPr>
        <w:t>E. 5.4.1</w:t>
      </w:r>
    </w:p>
    <w:p>
      <w:r>
        <w:t>Vorab ist festzuhalten, dass aufgrund der widersprüchlichen Aussagen des Beschwerdeführers zu seinem familiären Verhältnissen und seiner Kindheit Zweifel an der Glaubwürdigkeit seiner Person bestehen. So machte er beispielsweise unterschiedliche Angaben zu seinen Geschwistern (vgl. Akten des Asylverfahrens, A8/12, S. 5 und A20/22, F 26, 29 f.) und zum Aufenthaltsort seiner Eltern (vgl. Akten des Asylverfahrens, A8/12, S. 5 und A20/22, F 23, 55 ff.).</w:t>
      </w:r>
    </w:p>
    <w:p>
      <w:r>
        <w:rPr>
          <w:b/>
        </w:rPr>
        <w:t>E. 5.4.2</w:t>
      </w:r>
    </w:p>
    <w:p>
      <w:r>
        <w:t>Sodann konnte der Beschwerdeführer zu der angeblichen Festnahme und den darauffolgenden Inhaftierungen - wie bereits die Vorinstanz zutreffend feststellte - nur vage und unsubstantiierte Angaben machen. So blieb seine Schilderung zum Moment seiner Festnahme oberflächlich und zum Gefängnis C._______ gab er zunächst nur an, dass es sich dabei um ein riesiges Gebäude mit Innenhof und Zellen für Frauen und Männer handle. Er sei "irgendwo" festgehalten worden. Auch auf Nachfrage hin blieben seine Erklärungen vage und er ergänzte nur, dass es dort Toiletten gegeben habe und er im Gang an eine Metallstange gefesselt gewesen sei (vgl. Akten des Asylverfahrens, A20/22, F 108 ff., 120 ff.). Dasselbe gilt für die Schilderungen seines angeblich 23-tägigen Aufenthalts im Liyu-Gefängnis. So konnte er weder das Gebäude noch den Ort im Gebäude genau beschreiben, wo man ihn während dieser 23 Tage festgehalten habe (vgl. Akten des Asylverfahrens, A20/22, F 114 ff.). Es ist jedoch davon auszugehen, dass der Beschwerdeführer, wäre er tatsächlich für neun beziehungsweise 23 Tage in diesen Gefängnissen festgehalten worden, genauere Angaben hätte machen können. Dies umso mehr, als er im Rahmen seiner 23-tägigen Inhaftierung - gemäss eigenen Angaben - nicht ständig an derselben Stelle festgehalten worden sei und auch gearbeitet habe (vgl. Akten des Asylverfahrens, A20/22, F 119). Weiter erwecken auch seine Zeit- und Datumsangaben den Eindruck, als würde er diese seiner Geschichte anpassen. So gab er zunächst an, er habe seinen Vater am 2. September 2015 für sieben Tage besucht und sei nach seiner Rückkehr noch am selben Abend verhaftet worden. Später gab er an, er sei am 11. September 2015 verhaftet worden. Seine Erklärung zu diesem Widerspruch, er sei zwar am 2. September 2015 zu seinem Vater gereist, aber erst am 3. September 2015 dort angekommen, wirkt konstruiert und vermag nicht zu überzeugen. Schliesslich konnte der Beschwerdeführer auch auf explizite Nachfrage hin keine detaillierten Angaben zu seinem Aufenthalt und der Kundgebung in Addis Abeba machen (vgl. Akten des Asylverfahrens, A20/22, F 130 ff.). Es ist ihm entsprechend nicht gelungen, glaubhaft darlegen, vor seiner Ausreise aus Äthiopien in asylrelevanter Weise verfolgt worden zu sein. Daran vermögen auch seine Ausführungen auf Beschwerdeebene nichts zu ändern, zumal in der Rechtsmitteleingabe im Wesentlichen der Sachverhalt wiederholt und an der Glaubhaftigkeit der Vorbringen festgehalten wird.</w:t>
      </w:r>
    </w:p>
    <w:p>
      <w:r>
        <w:rPr>
          <w:b/>
        </w:rPr>
        <w:t>E. 5.4.3</w:t>
      </w:r>
    </w:p>
    <w:p>
      <w:r>
        <w:t>Was die Staatsangehörigkeit des Beschwerdeführers betrifft, so ist festzuhalten, dass er - gemäss eigenen Angaben - in F._______ geboren wurde und seine Eltern aus C._______ (Regionalstaat Somali in Äthiopien) stammen. Nach der Machtübernahme durch die von der Ethiopian People's Revolutionary Democratic Front (EPRDF) angeführten Koalition von 1991 wurde die administrative Einteilung Äthiopiens reformiert und es wurden administrative Einheiten nach ethnischen und sprachlichen Kriterien eingeführt (vgl. Berisso Taddesse, Changing Alliances of Guji-Oromo and their Neighbours: State Policies and Local Factors, in: Schlee/Watson [Hrsg.], Changing Identifications and Alliances in North-East Africa, Volume I: Ethiopia and Kenya, 2009, S. 191 ff.). In der Verfassung von 1995 kreierte die Regierung sodann neun auf ethnischen Kriterien basierende sogenannte "regional states" und zwei föderal verwaltete "city-states" (vgl. Bertelsmann Stiftung, BTI 2016 - Ethiopia Country Report, 29.02.2016, &lt; http://www.bti-project.org/fileadmin/files/BTI/Downloads/Reports/2016/ pdf/BTI_2016_Ethiopia.pdf , abgerufen am 29.03.2018). Der Regionalstaat Somali (vom Beschwerdeführer umgangssprachlich "Ogaden" genannt) ist einer dieser neun "regional-states", welcher geografisch und politisch zu Äthiopien gehört (vgl. Shinn/Ofcansky, Historical Dictionary of Ethiopia, 2. Aufl. 2013, S. 371). Fast die gesamte Bevölkerung des Regionalstaates Somali sind ethnische Somali mit äthiopischer Nationalität (vgl. Institute for Security Studies [ISS], Fleeing terror, fighting terror: the truth about refugees and violent extremism, 01.2018, &lt; https://issafrica.s3.amazonaws.com/site/uploads/ear17-1.pdf&gt;, abgerufen am 29.03. 2018). Bezüglich allfälliger äthiopischer Identitätsdokumente ist festzuhalten, dass die Ausstellung solcher Dokumente einen Eintrag im Familienregister einer Kebele voraussetzt. In von Nomaden bewohnten Regionen (wie beispielsweise in ebendiesem Regionalstaat) wird eine solche Registrierung weniger konsequent durchgeführt. Für Nomaden ist es in der Regel nicht wichtig, eine Identitätskarte zu besitzen, sie identifizieren sich über die Clanzugehörigkeit. In der Somali-Region wurde der Registrierungsprozess sodann gerade erst begonnen. In der Hauptstadt Jijiga wird derzeit ein allumfassendes Zentralregister erstellt, das die Grundlage für die künftigen Registrierungen bildet. In den restlichen Woredas der Region existieren keine Personenregister. Dokumente werden dort an jeden ausgestellt, der diese verlangt (vgl. Bundesamt für Migration und Flüchtlinge [BAMF] / Bundesasylamt [BAA] / Bundesamt für Migration [BFM], Bericht zur D-A-CH Fact Finding Mission Äthiopien/Somaliland 2010, 05.2010, &lt; https://www.sem.admin.ch/dam/data/sem/internationales/herkunftslaender/afrika/eth/ETH-ber factfindingmission-d.pdf &gt;, abgerufen am 29.03. 2018). Nach dem Gesagten geht das Gericht davon aus, dass es sich beim Beschwerdeführer um einen ethnischen Somali mit äthiopischer Staatsbürgerschaft handelt. Im Übrigen gab er anlässlich der Anhörung selber an, er sei äthiopischer Staatsangehöriger somalischer Ethnie (vgl. Akten des Asylverfahrens, A20/22, F 158). Dass er sich selber nicht als Äthiopier sieht, ist in Anbetracht der Tatsache, dass der Regionalstaat Somali überwiegend von Personen somalischer Ethnie bewohnt wird, nachvollziehbar. Die Ausführungen auf Beschwerdeebene vermögen an der Einschätzung des Gerichts nichts zu ändern.</w:t>
      </w:r>
    </w:p>
    <w:p>
      <w:r>
        <w:rPr>
          <w:b/>
        </w:rPr>
        <w:t>E. 5.5</w:t>
      </w:r>
    </w:p>
    <w:p>
      <w:r>
        <w:t>Zusammenfassend ist festzuhalten, dass es dem Beschwerdeführer nicht gelungen ist, eine im Sinne von Art. 3 AsylG relevante Verfolgungsgefahr nachzuweisen oder glaubhaft darzutun. Die Vorinstanz hat sein Asylgesuch daher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Ende März 2017 entschied das äthiopische Parlament, den Ausnahmezustand landesweit um vier Monate zu verlängern (Fana Broadcasting Corporate [FBC]: Ethiopia extends State of Emergency for additional four months, 30.03.2017, http://www.fanabc.com/english/index.php/news/item/8527-ethiopia-extends-state-ofemergency-for-additional-four-months , abgerufen am 03.04.2018). Im August 2017 wurde der Ausnahmezustand zwar wieder aufgehoben, die inhaftierten Personen bleiben jedoch in den sogenannten "rehabilitation camps" (vgl. dazu Urteile des BVGer D-1023/2015 vom 25. August 2017 E. 7.1.2 und D-860/2016 vom 13. Juli 2017 E. 4.6 je m.w.H.).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 eritrea-ld.88768 &gt; , abgerufen am 03.04.2018).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(vgl. BVGE 2011/25 E. 8.4; vgl. auch Urteile des BVGer E-4561/2017 vom 21. September 2017 E. 6.2.1 sowie E-623/2016 vom 28. Dezember 2017).</w:t>
      </w:r>
    </w:p>
    <w:p>
      <w:r>
        <w:rPr>
          <w:b/>
        </w:rPr>
        <w:t>E. 7.3.2</w:t>
      </w:r>
    </w:p>
    <w:p>
      <w:r>
        <w:t>Aus den Akten ergeben sich sodann keine individuellen Gründe, welche einen Vollzug der Wegweisung als unzumutbar erscheinen lassen. Der Beschwerdeführer ist (...) Jahre alt und soweit den Akten zu entnehmen ist, gesund. Gemäss seinen Angaben leben sein Vater, (...) Geschwister und seine Ehefrau noch in Äthiopien. Es ist demnach davon auszugehen, dass der Beschwerdeführer in Äthiopien über ein bestehendes familiäres Beziehungsnetz verfügt, welches ihm bei der Reintegration behilflich sein kann. Zudem hat er, obwohl er gemäss eigenen Angaben nur vier Jahre die Schule besucht hat, als (...), (...) und (...) gearbeitet und so für sich gesorgt. Auch mithilfe seiner Ehefrau, welche offenbar über eine erweiterte Schulbildung verfügt (vgl. Akten des Asylverfahrens, A20/22, F 53), ist es ihm zuzumuten, die Schule weiterzuführen oder sich um eine neue Anstellung zu bemühen, um eine neue wirtschaftliche Existenz aufzubauen. Es ist demnach nicht davon auszugehen, dass der Beschwerdeführer bei einer Rückkehr in eine existenzielle Notlage geraten wird. Der Vollzug der Wegweisung ist daher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Bei dieser Sachlage erübrigt es sich, auf den weiteren Inhalt der Beschwerde einzugehen. Die Beschwerde ist abzuweisen.</w:t>
      </w:r>
    </w:p>
    <w:p>
      <w:r>
        <w:rPr>
          <w:b/>
        </w:rPr>
        <w:t>E. 9.1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10. Januar 2018 wurden indes die Gesuche um unentgeltliche Rechtspflege sowie um unentgeltliche Rechtsverbeiständung gutgeheissen. Dem Beschwerdeführer sind dementsprechend keine Verfahrenskosten aufzuerlegen und dem amtlich bestellten Rechtsbeistand ist zulasten der Gerichtskasse ein Honorar für seine Bemühungen auszurichten.</w:t>
      </w:r>
    </w:p>
    <w:p>
      <w:r>
        <w:rPr>
          <w:b/>
        </w:rPr>
        <w:t>E. 9.2</w:t>
      </w:r>
    </w:p>
    <w:p>
      <w:r>
        <w:t>Der amtliche Rechtsbeistand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amtliches Honorar gestützt auf die in Betracht zu ziehenden Bemessungsfaktoren (Art. 9-13 VGKE) in der Höhe von Fr. 800.-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