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E-7309/2013 vom 19. Juni 2014</w:t>
      </w:r>
    </w:p>
    <w:p>
      <w:r>
        <w:t>Bundesverwaltungsgericht, 2014-06-19, DE</w:t>
      </w:r>
    </w:p>
    <w:p>
      <w:r>
        <w:rPr>
          <w:b/>
        </w:rPr>
        <w:t xml:space="preserve">Quelle: </w:t>
      </w:r>
      <w:r>
        <w:t>https://mcp.opencaselaw.ch/entscheid/bvger_E-7309_2013</w:t>
      </w:r>
    </w:p>
    <w:p>
      <w:r>
        <w:t>FR: TAF E-7309/2013 du 19 juin 2014</w:t>
      </w:r>
    </w:p>
    <w:p>
      <w:r>
        <w:t>IT: TAF E-7309/2013 del 19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 SR 142.31]; Art. 83 Bst. d Ziff. 1 BGG).</w:t>
      </w:r>
    </w:p>
    <w:p>
      <w:r>
        <w:rPr>
          <w:b/>
        </w:rPr>
        <w:t>E. 1.2</w:t>
      </w:r>
    </w:p>
    <w:p>
      <w:r>
        <w:t>Die Beschwerde ist frist- und - nach fristgerechter Nachreichung der Originalunterschrift -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beurteilen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 die Ablehnung des Asylgesuches im Wesentlichen damit, dass die Vorbringen der Beschwerdeführerin nicht als glaubhaft zu erachten seien, namentlich seien ihre Aussagen nicht hinreichend begründet, wenig konkret und widersprüchlich ausgefallen oder als nachgeschoben und damit nicht glaubhaft zu werten.</w:t>
      </w:r>
    </w:p>
    <w:p>
      <w:r>
        <w:rPr>
          <w:b/>
        </w:rPr>
        <w:t>E. 4.2</w:t>
      </w:r>
    </w:p>
    <w:p>
      <w:r>
        <w:t>Das Bundesverwaltungsgericht gelangt nach Prüfung der Akten zum Schluss, dass die Vorinstanz die Verfolgungsvorbringen der Beschwerdeführerin zu Recht als unglaubhaft beurteilt hat. So zeigt das BFM zutreffend auf, dass die Aussagen der Beschwerdeführerin in mehreren Punkten, teilweise sogar massiv, widersprüchlich und insgesamt wenig detailliert und stereotyp ausgefallen sind. Ein unauflösbarer Widerspruch in einem zentralen Punkt der Asylbegründung besteht etwa, wenn die Beschwerdeführerin in der BzP einerseits ausführt, sie sei während der dreimonatigen Haft alle 2-3 Tage verhört worden (vgl. A5/12, S. 7) und in der Anhörung andererseits zu Protokoll gibt, nur während zweier Wochen verhört worden zu sein. Nachdem die befragende Person der Beschwerdeführerin diesen Widerspruch umgehend aufgezeigt hatte, vermochte sie ihn nicht etwa aufzulösen, sondern verdeutlichte ihn noch, indem sie festhalten liess, in der Zeit, in der sie dort gewesen sei, habe es zwei Wochen gedauert, bis man aufgehört habe, sie zu verhören (vgl. A13/18, S. 10). Mit dem Hinweis in der Beschwerde, die Protokollstellen seien nochmals durchzulesen, löst sie den Widerspruch gerade nicht auf. Zu Recht beurteilt das BFM auch das Vorbringen der Beschwerdeführerin betreffend Waffenhandel als nachgeschoben und damit unglaubhaft. Dass sie dies, wie sie in der Anhörung vorgibt, nicht gesagt habe, weil man sie nicht zur Präzisierung aufgefordert habe (vgl. A13/18, S. 9), überzeugt schon deshalb nicht, weil sie andererseits ohne entsprechende Aufforderung sehr präzise aufgelistet hatte, was alles genau die Polizisten beschlagnahmt hätten (vgl. A5/12, S. 7). In ihrer Rechtsmitteleingabe beschränkt sich die Beschwerdeführerin im Wesentlichen auf eine Wiederholung ihrer Behauptungen und vermag damit den Vorhalten des BFM nichts Wesentliches entgegenzuhalten. Vielmehr verstrickt sich die Beschwerdeführerin erneut in dieselben Widersprüche, etwa wenn sie wiederum nur ausführt, sie könne nicht bestätigen, aus welchem Gefängnis die Männer, die mit ihr auf dem LKW transportiert worden seien, gekommen seien (Beschwerdeeingabe S. 3), nachdem ihr das BFM zu Recht entgegengehalten hatte, sie habe einmal über Männer sowohl in dem Gefängnis als auch während dem Transport gesprochen und einmal ausgesagt, auf dem LKW seien ausschliesslich Frauen transportiert worden. Es erübrigt sich, auf weitere Unstimmigkeiten in den Vorbringen der Beschwerdeführerin einzugehen, ergänzend kann auf die zutreffenden und ausführlichen Erwägungen in der angefochtenen Verfügung verwiesen werden.</w:t>
      </w:r>
    </w:p>
    <w:p>
      <w:r>
        <w:rPr>
          <w:b/>
        </w:rPr>
        <w:t>E. 4.3</w:t>
      </w:r>
    </w:p>
    <w:p>
      <w:r>
        <w:t>Zusammenfassend ist es der Beschwerdeführerin nicht gelungen, ihre Flüchtlingseigenschaft nachzuweisen oder glaubhaft zu machen. Das BFM hat ihr Asylgesuch somit zu Recht abgelehnt. 5.1 Lehnt das Bundesamt das Asylgesuch ab oder tritt es darauf nicht ein, so verfügt es in der Regel die Wegweisung aus der Schweiz und ordnet den Vollzug an; es berücksichtigt dabei den Grundsatz der Einheit der Familie (Art. 44 Abs. 1 AsylG). 5.2 Die Beschwerdeführerin verfügt weder über eine ausländerrechtliche Aufenthaltsbewilligung noch über einen Anspruch auf Erteilung einer solchen (vgl. BVGE 2009/50 E. 9 S. 733, BVGE 2008/34 E. 9.2 S. 510). Die Wegweisung wurde demnach zu Recht angeordnet (Art. 44 Abs. 1 AsylG).</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6.1.2</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und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nicht gelungen, da die Verfolgungsvorbringen übereinstimmend mit der Vorinstanz als unglaubhaft zu beurteilen sind. Auch die allgemeine Menschenrechtssituation im Heimatstaat der Beschwerdeführerin lässt den Wegweisungsvollzug zum heutigen Zeitpunkt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der Demokratischen Republik Kongo herrscht keine landesweite Bürgerkriegssituation und keine Situation allge­meiner Gewalt. Gleichwohl gilt die Rückkehr von Personen aus diesem Staat gemäss ständiger Rechtsprechung des Bundesverwaltungsgerichts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eine zu­rückzuführende Person (kleine) Kinder in ihrer Begleitung hat, für mehrere Kinder verantwortlich ist, sich bereits in fortgeschrittenem Alter oder in einem schlechten gesundheitlichen Zustand befindet. Ebenso erachtet das Bundesverwaltungsgericht den Vollzug der Wegweisung einer alleinstehenden, über kein soziales oder familiäres Netz verfügenden Frau als grundsätzlich unzumutbar (vgl. statt vieler das Urteil des Bundesverwal­tungsgerichts D-874/2013 vom 25. September 2013 E. 5.3 mit weiteren Hinweisen).</w:t>
      </w:r>
    </w:p>
    <w:p>
      <w:r>
        <w:rPr>
          <w:b/>
        </w:rPr>
        <w:t>E. 6.2.2</w:t>
      </w:r>
    </w:p>
    <w:p>
      <w:r>
        <w:t>Die Beschwerdeführerin ist gemäss eigenen Angaben in Kinshasa geboren und hat dort bis 2009 gelebt. Sie verfügt über einen höheren Schulabschluss und hat mit einer (...) begonnen. Bis zur Geburt ihrer Tochter sei sie als (...) für ihren Lebensaufenthalt aufgekommen. Danach habe sie bis zu ihrer Ausreise im (...) beim Vater ihres Kindes in B._______, einer Stadt in der Provinz Bas-Kongo im Westen des Landes, die über den Flughafen C._______ erreichbar ist, gelebt. Ob sich ihr Kind in B._______ befinde, wisse sie nicht, sie habe aber erfahren, dass der Freund des Vaters auf dieses aufpasse. Freunde ihres verstorbenen Mannes hätten ihr auch bei der Ausreise geholfen. Darüber hinaus verfügt die Beschwerdeführerin im Heimatland über ein grosses verwandtschaftliches Beziehungsnetz, so lebten nebst den Eltern zahlreiche Geschwister im Heimatland, darunter fünf in Kinshasa. Das BFM verweist zu Recht auf diese begünstigenden Umstände. Insgesamt ist damit den von der Rechtsprechung aufgestellten Kriterien genüge getan, zumal die Beschwerdeführerin auf Rechtsmittelstufe keinerlei Einwände erhebt. Damit erweist sich der Vollzug der Wegweisung als zumutbar.</w:t>
      </w:r>
    </w:p>
    <w:p>
      <w:r>
        <w:rPr>
          <w:b/>
        </w:rPr>
        <w:t>E. 6.3</w:t>
      </w:r>
    </w:p>
    <w:p>
      <w:r>
        <w:t>Der Vollzug der Wegweisung erweist sich schliesslich als möglich im Sinne von Art. 83 Abs. 2 AuG, zumal es der Beschwerdeführerin obliegt,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vorläufigen Aufnahme fällt somit ausser Betracht (Art. 83 Abs. 1 - 4 AuG).</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der Beschwer­de­führerin aufzuerlegen (Art. 63 Abs. 1 VwVG). Mit Zwischenverfügung vom 12. Februar 2014 wurde jedoch das Gesuch der Beschwerdeführerin um Gewährung der unentgeltlichen Prozessführung gutgeheissen. Nachdem auch im heutigen Zeitpunkt von der Bedürftigkeit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