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E-7304/2015 vom 11. April 2016</w:t>
      </w:r>
    </w:p>
    <w:p>
      <w:r>
        <w:t>Bundesverwaltungsgericht, 2016-04-11, DE</w:t>
      </w:r>
    </w:p>
    <w:p>
      <w:r>
        <w:rPr>
          <w:b/>
        </w:rPr>
        <w:t xml:space="preserve">Quelle: </w:t>
      </w:r>
      <w:r>
        <w:t>https://mcp.opencaselaw.ch/entscheid/bvger_E-7304_2015</w:t>
      </w:r>
    </w:p>
    <w:p>
      <w:r>
        <w:t>FR: TAF E-7304/2015 du 11 avril 2016</w:t>
      </w:r>
    </w:p>
    <w:p>
      <w:r>
        <w:t>IT: TAF E-7304/2015 del 11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Vorweg ist die Rüge der unvollständigen Sachverhaltsfeststellung zu prüfen, da ein allenfalls ungenügend abgeklärter Sachverhalt eine materielle Behandlung verunmöglichen würde.</w:t>
      </w:r>
    </w:p>
    <w:p>
      <w:r>
        <w:rPr>
          <w:b/>
        </w:rPr>
        <w:t>E. 3.1</w:t>
      </w:r>
    </w:p>
    <w:p>
      <w:r>
        <w:t>Auf Beschwerdeebene wird angeführt, der Entscheid der Vorinstanz sei ohne die erforderliche Einzelfallabklärung ergangen. Sie habe es unterlassen, die Beziehung des Beschwerdeführers mir seiner damaligen Verlobten korrekt zu berücksichtigen, weshalb dem Entscheid ein unvollständiger und mangelhaft erstellter Sachverhalt zugrunde liege.</w:t>
      </w:r>
    </w:p>
    <w:p>
      <w:r>
        <w:rPr>
          <w:b/>
        </w:rPr>
        <w:t>E. 3.2</w:t>
      </w:r>
    </w:p>
    <w:p>
      <w:r>
        <w:t>Der Untersuchungsgrundsatz gehört zu den allgemeinen Grundsätzen des Asylverfahrens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(Art. 13 VwVG und Art. 8 AsylG). Trotz Untersuchungsgrundsatz kann sich nämlich die entscheidende Behörde in der Regel darauf beschränken, die Vorbringen zu würdigen und die angebotenen Beweise abzunehmen, ohne weitere Abklärungen vornehmen zu müssen. Der Grundsatz des rechtlichen Gehörs (Art. 29 Abs. 2 BV, Art. 29 und Art. 32 Abs. 1 VwVG) verlangt sodann, dass die verfügende Behörde die Vorbringen des Beschwerdeführers tatsächlich hört, sorgfältig und ernsthaft prüft und in der Entscheidfindung berücksichtigt, was sich entsprechend in der Begründung des Entscheides niederschlagen muss (Art. 35 Abs. 1 VwVG; vgl. EMARK 2004 Nr. 38 E. 6.3). Die Abfassung der Begründung soll es dem Betroffenen möglich machen, den Entscheid gegebenenfalls sachgerecht anzufechten, was nur möglich ist, wenn sich sowohl der Betroffene als auch die Rechtsmittelinstanz über die Tragweite des Entscheides ein Bild machen können (vgl. BGE 129 I 232 E. 3.2). Dabei muss sich die verfügende Behörde nicht ausdrücklich mit jeder tatbeständlichen Behauptung und jedem rechtlichen Einwand auseinander setzen, sondern darf sich auf die wesentlichen Gesichtspunkte beschränken (vgl.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BGE 112 Ia 110 sowie EMARK 2006 Nr. 24 E. 5.1; 2006 Nr. 4 E. 5 und 2004 Nr. 38 E 7).</w:t>
      </w:r>
    </w:p>
    <w:p>
      <w:r>
        <w:rPr>
          <w:b/>
        </w:rPr>
        <w:t>E. 3.3</w:t>
      </w:r>
    </w:p>
    <w:p>
      <w:r>
        <w:t>Aufgrund der Aktenlage kommt das Bundesverwaltungsgericht zum Schluss, dass das SEM vorliegend den Sachverhalt, insbesondere auch betreffend die Beziehung des Beschwerdeführers mit seiner Verlobten und deren Situation in der Schweiz, vollständig erstellt und diesen in ihrer Begründung genügend berücksichtigt und Einzelfall bezogen gewürdigt hat. Folglich hat die Vorinstanz die Verfahrensvorschriften nicht verletzt, weshalb kein Anlass besteht, die Verfügung aufzuheben und die Sache aus diesem Grund an die Vorinstanz zurückzuweisen.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Art. 7 Abs. 1 Dublin-III-VO) anzuwenden (vgl. BVGE 2012/4 E. 3.2). Im Rahmen eines Wiederaufnahmeverfahrens (take back) - wie das vorliegende -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 Nach der Versteinerungsregel (Art. 7 Abs. 2 Dublin-III-VO) ist bei der Prüfung der Zuständigkeitskriterien derjenige Sachverhalt massgebend, der zum Zeitpunkt der Stellung des ersten Antrages auf internationalen Schutz - vorliegend am (...) 2015 in Österreich - vorgelegen hat (vgl. Filzwieser/Sprung, Dublin III-Verordnung, Stand: 1. Februar 2014, K4 zu Art. 7).</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von Art. 23, Art. 24, Art. 25 und Art. 29 Dublin-III-VO wieder aufzunehmen (Art. 18 Abs. 1 Bst. b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(Selbsteintrittsrecht; Art. 17 Abs. 1 Satz 1 Dublin-III-VO).</w:t>
      </w:r>
    </w:p>
    <w:p>
      <w:r>
        <w:rPr>
          <w:b/>
        </w:rPr>
        <w:t>E. 5.1</w:t>
      </w:r>
    </w:p>
    <w:p>
      <w:r>
        <w:t>Ein Abgleich der Fingerabdrücke des Beschwerdeführers mit der «Eurodac»-Datenbank ergab, dass dieser am (...) 2015 im österreichischen Spielfeld ein Asylgesuch eingereicht hatte (A4). Das SEM ersuchte deshalb die österreichischen Behörden am 19. Oktober 2015 um Wiederaufnahme des Beschwerdeführers gestützt auf Art. 18 Abs. 1 Bst. b Dublin-III-VO (A12). Die österreichischen Behörden stimmten dem Gesuch um Rückübernahme am 21. Oktober 2015 zu (A15).</w:t>
      </w:r>
    </w:p>
    <w:p>
      <w:r>
        <w:rPr>
          <w:b/>
        </w:rPr>
        <w:t>E. 5.2</w:t>
      </w:r>
    </w:p>
    <w:p>
      <w:r>
        <w:t>Der Beschwerdeführer bestritt an der Befragung vom 9. Oktober 2015, in Österreich jemals ein Asylgesuch gestellt zu haben. Nachdem er vor der österreichischen Polizei erwähnt habe, dass er in der Schweiz eine Verlobte habe, habe diese ihn nach der Daktyloskopie aufgefordert, binnen 72 Stunden das Land zu verlassen (A5 S. 5). Des Weiteren wurde in der Beschwerdeeingabe vom 11. November 2015 festgehalten, dass gestützt auf Art. 9 i.V.m. Art. 2 Bst. g Dublin-III-VO die Schweiz für die Durchführung seines Asylverfahrens zuständig sei. Dies begründete der Rechtsvertreter damit, dass der Beschwerdeführer seine auch aus B._______ stammende langjährige Freundin, welche hier vorläufig aufgenommen worden sei, inzwischen stellvertretend geheiratet habe. Die Brautleute hätten nach der Einreise des Beschwerdeführers in die Schweiz am (...) 2015 beim irakischen Konsulat in Bern vorgesprochen und die für eine Heirat nach irakischem Recht nötigen Papiere eingereicht. Es habe der Vollmachten für eine Stellvertreterehe im Irak bedurft, da eine Heirat weder in der Schweiz noch in Österreich realistisch gewesen sei. Nachdem diese Vollmachten in den Irak geschickt worden seien, sei am (...) 2015 die Ehe durch das Zivilgericht in B._______ geschlossen und der Eheschein ausgestellt worden. Am (...) 2015 hätten die bevollmächtigten Stellvertreter vor demselben Gericht den Eheschluss bestätigt.</w:t>
      </w:r>
    </w:p>
    <w:p>
      <w:r>
        <w:rPr>
          <w:b/>
        </w:rPr>
        <w:t>E. 5.3</w:t>
      </w:r>
    </w:p>
    <w:p>
      <w:r>
        <w:t>Obwohl der Beschwerdeführer die Einreichung eines Asylgesuchs in Österreich in Frage stellte, ist - auch mangels eines Gegenbeweises - auf die «Eurodac»-Meldung vom 16. September 2015, nach welcher er am (...) 2015 in Spielfeld ein Asylgesuch (Art. 23 Abs. 4 Verordnung [EU] Nr. 603/2013 des Europäischen Parlaments und des Rates vom 26. Juni 2013 über die Einrichtung von Eurodac für den Abgleich von Fingerabdruckdaten zum Zwecke der effektiven Anwendung der Verordnung [EU] Nr. 604/2013) eingereicht hatte, und auf die Zustimmung Österreichs vom 21. Oktober 2015 nach Wiederaufnahmeersuchen der Schweiz zu verweisen. Entgegen den Beschwerdevorbringen ist folglich von der grundsätzlichen Zuständigkeit Österreichs und von einem take back-Verfahren auszugehen, weshalb kein Raum für die Anwendung von Kapitel III Dublin-III-VO - und somit auch nicht von Art. 9 Dublin-III-VO - besteht (vgl. E. 4.2).</w:t>
      </w:r>
    </w:p>
    <w:p>
      <w:r>
        <w:rPr>
          <w:b/>
        </w:rPr>
        <w:t>E. 5.4</w:t>
      </w:r>
    </w:p>
    <w:p>
      <w:r>
        <w:t>Zusammenfassend liegt die grundsätzliche Zuständigkeit für die Durchführung des Asylverfahrens des Beschwerdeführers bei Österreich.</w:t>
      </w:r>
    </w:p>
    <w:p>
      <w:r>
        <w:rPr>
          <w:b/>
        </w:rPr>
        <w:t>E. 6.1</w:t>
      </w:r>
    </w:p>
    <w:p>
      <w:r>
        <w:t>Der Beschwerdeführer fordert weiter die Anwendung der Ermessensklausel von Art. 17 Abs. 1 Dublin-III-VO i.V.m. Art. 8 EMRK, was zum Selbsteintritt der Schweiz und zur materiellen Beurteilung seines Antrags auf internationalen Schutz führen würde. Nach Art. 17 Abs. 1 Dublin-III-VO kann die Schweiz ein Asylgesuch materiell überprüfen, auch wenn nach der in der Dublin-III-VO vorgesehenen Kriterien ein anderer Staat zuständig wäre (Selbsteintrittsrecht). Diese Bestimmung kann nur in Verbindung mit einer anderen Norm des internationalen oder nationalen Rechts angerufen werden (vgl. BVGE 2010/45 E. 5). Droht ein Verstoss gegen übergeordnetes Recht, zum Beispiel gegen eine Norm des Völkerrechts, so besteht ein einklagbarer Anspruch auf Ausübung des Selbsteintrittsrechts. Die ins nationale Recht aufgenommene Norm Art. 29a Abs. 3 AsylV 1 sieht vor, dass das SEM aus humanitären Gründen ein Gesuch behandeln kann. Es handelt sich hierbei um eine Kann-Bestimmung, die den Behörden einen gewissen Ermessensspielraum lässt und restriktiv auszulegen ist (vgl. BVGE 2010/45 E. 8.2.2 und 2011/9 E. 8.1 f.).</w:t>
      </w:r>
    </w:p>
    <w:p>
      <w:r>
        <w:rPr>
          <w:b/>
        </w:rPr>
        <w:t>E. 6.2</w:t>
      </w:r>
    </w:p>
    <w:p>
      <w:r>
        <w:t>Die Forderung, auf das Asylgesuch des Beschwerdeführers sei gestützt auf Art. 17 Abs. 1 Dublin-III-VO einzutreten, wurde insbesondere damit begründet, dass er und C._______ schon länger eine Beziehung führen würden; ihr Familienleben sei folglich durch Art. 8 EMRK geschützt.</w:t>
      </w:r>
    </w:p>
    <w:p>
      <w:r>
        <w:rPr>
          <w:b/>
        </w:rPr>
        <w:t>E. 6.2.1</w:t>
      </w:r>
    </w:p>
    <w:p>
      <w:r>
        <w:t>Das Recht auf Achtung des Familienlebens nach Art. 8 EMRK kann angerufen werden, wenn eine staatliche Entfernungs- oder Fernhaltemassnahme zur Trennung von Familienmitgliedern führt (vgl. BGE 135 I 153 E. 2.1 m.w.H.). Als solche ist auch die Überstellung einer asylsuchenden Person im Rahmen eines Dublin-Verfahrens zu betrachten (vgl. BVGE 2013/24 E. 5.1). In den Schutzbereich des Rechts auf Achtung des Familienlebens fallen in erster Linie die Mitglieder der Kernfamilie, das heisst die Ehegatten und minderjährige Kinder. Ebenfalls in den Schutzbereich fallen können nicht rechtlich begründete familiäre Verhältnisse, sofern eine genügend nahe, echte und tatsächlich gelebte Beziehung vorliegt. Hinweise für eine solche Beziehung sind das Zusammenleben in einem gemeinsamen Haushalt, eine finanzielle Abhängigkeit, speziell enge familiäre Bande, regelmässige Kontakte oder die Übernahme von Verantwortung für eine andere Person (vgl. BGE 135 I 143 E. 3.1 m.w.H.). Gemäss ständiger bundesgerichtlicher Rechtsprechung kann sich jemand auf den Schutz des Familienlebens gemäss Art. 8 EMRK berufen, wenn er sich auf eine Beziehung zu einer Person mit gefestigtem Anwesenheitsrecht (Bürgerrecht, Niederlassungsbewilligung oder Aufenthaltsbewilligung mit einem gefestigten Rechtsanspruch) in der Schweiz bezieht (vgl. statt vieler BGE 135 I 143 E.1.3.1 und 130 II 281 E. 3.1, je m.w.H.). Das Bundesverwaltungsgericht hat sich dieser Praxis angeschlossen (vgl. BVGE 2013/24 E. 5.2 und 2012/4 E. 4.3).</w:t>
      </w:r>
    </w:p>
    <w:p>
      <w:r>
        <w:rPr>
          <w:b/>
        </w:rPr>
        <w:t>E. 6.2.2</w:t>
      </w:r>
    </w:p>
    <w:p>
      <w:r>
        <w:t>Im vorliegenden Fall können die Fragen, ob die Eheschliessung zwischen dem Beschwerdeführer und C._______ gültig sei oder ob überhaupt eine tatsächlich gelebte und stabile Beziehung im Sinne der Rechtsprechung vorliege, offen gelassen werden. C._______ verfügt in der Schweiz über eine vorläufige Aufnahme, bei welcher es sich nicht um eine Aufenthaltsbewilligung, sondern um einen vorübergehenden Status handelt, der die Anwesenheit regelt, solange der Wegweisungsvollzug nicht zulässig, nicht zumutbar oder nicht möglich erscheint (vgl. BGE 138 I 246 E. 2.3 m.w.H.). Demzufolge ist Art. 8 EMRK im vorliegenden Fall nicht anwendbar.</w:t>
      </w:r>
    </w:p>
    <w:p>
      <w:r>
        <w:rPr>
          <w:b/>
        </w:rPr>
        <w:t>E. 6.3</w:t>
      </w:r>
    </w:p>
    <w:p>
      <w:r>
        <w:t>Soweit der Beschwerdeführer das Vorliegen von "humanitären Gründen" geltend macht, weil seine Beziehung zu seiner damaligen Verlobten - falls nicht unter dem Titel von Art. 8 EMRK bereits - unter diesem Titel zum Selbsteintritt führen sollte, ist Folgendes festzuhalten:</w:t>
      </w:r>
    </w:p>
    <w:p>
      <w:r>
        <w:rPr>
          <w:b/>
        </w:rPr>
        <w:t>E. 6.3.1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 im Gegensatz zur in der Beschwerde angeführten Rechtsprechung BVGE 2011/9 -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6.3.2</w:t>
      </w:r>
    </w:p>
    <w:p>
      <w:r>
        <w:t>Die angefochtene Verfügung ist unter diesem Blickwinkel nicht zu beanstanden; insbesondere sind den Akten keine Hinweise auf einen Ermessensmissbrauch oder ein Über- respektive Unterschreiten des Ermessens zu entnehmen. Die Beziehung zwischen dem Beschwerdeführer und C._______ wurde vom SEM - wie bereits erwähnt - gewürdigt, und auf die Möglichkeit eines allfälligen ausländerrechtlichen Familienzusammenführungsverfahren hingewiesen. Das Gericht enthält sich deshalb in diesem Zusammenhang weiterer Äusserungen.</w:t>
      </w:r>
    </w:p>
    <w:p>
      <w:r>
        <w:rPr>
          <w:b/>
        </w:rPr>
        <w:t>E. 6.4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6.5</w:t>
      </w:r>
    </w:p>
    <w:p>
      <w:r>
        <w:t>Somit bleibt Österreich der für die Behandlung der Asylgesuche des Beschwerdeführers zuständige Mitgliedstaat gemäss Dublin-III-VO. Österreich ist verpflichtet, das Asylverfahren gemäss Art. 23 ff. und Art. 29 Dublin-III-VO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Abs. 4 AuG unter diesen Umständen nicht mehr zu prüfen (vgl. BVGE 2010/45 E. 10).</w:t>
      </w:r>
    </w:p>
    <w:p>
      <w:r>
        <w:rPr>
          <w:b/>
        </w:rPr>
        <w:t>E. 9</w:t>
      </w:r>
    </w:p>
    <w:p>
      <w:r>
        <w:t>Bei diesem Ausgang des Verfahrens hätte der Beschwerdeführer die Kosten des vorliegenden Verfahrens zu tragen (Art. 63 Abs. 1 VwVG). Mit Verfügung vom 20. November 2015 hat das Bundesverwaltungsgericht dem Gesuch um Gewährung der unentgeltlichen Prozessführung stattgegeben. Demzufolge ist der Beschwerdeführer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