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E-7304/2010 vom 22. Februar 2011</w:t>
      </w:r>
    </w:p>
    <w:p>
      <w:r>
        <w:t>Bundesverwaltungsgericht, 2011-02-22, DE</w:t>
      </w:r>
    </w:p>
    <w:p>
      <w:r>
        <w:rPr>
          <w:b/>
        </w:rPr>
        <w:t xml:space="preserve">Quelle: </w:t>
      </w:r>
      <w:r>
        <w:t>https://mcp.opencaselaw.ch/entscheid/bvger_E-7304_2010</w:t>
      </w:r>
    </w:p>
    <w:p>
      <w:r>
        <w:t>FR: TAF E-7304/2010 du 22 février 2011</w:t>
      </w:r>
    </w:p>
    <w:p>
      <w:r>
        <w:t>IT: TAF E-7304/2010 del 22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nicht in einer Amtssprache der Schweiz abgefasste Rechtsschrift wird in un­prä­ju­di­zieller Weise entgegengenommen).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Über offensichtlich begründete Beschwerden wird in einzelrichter­li­cher Zuständigkeit mit Zustimmung eines zweiten Richters bezie­hungs­weise einer zweiten Richterin entschieden (Art. 111 Bst. e AsylG). Wie nach­stehend aufgezeigt, handelt es sich vorliegend um ein solches Rechts­mittel, weshalb der Beschwerdeentscheid nur summarisch zu be­gründen ist (Art. 111a Abs. 2 AsylG). Gestützt auf Art. 111a Abs. 1 AsylG wurde vorliegend auf die Durchführung eines Schriftenwechsels ver­zich­tet.</w:t>
      </w:r>
    </w:p>
    <w:p>
      <w:r>
        <w:rPr>
          <w:b/>
        </w:rPr>
        <w:t>E. 3.1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Asylverordnung 1 vom 11. August 1999 über Verfahrensfragen [AsylV 1, SR 142.311]). Ist diese nicht möglich, wird die asylsuchende Per­son von der Vertretung aufgefordert, ihre Asylgründe schriftlich fest­zu­halten (Art. 10 Abs. 2 AsylV 1). 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die Gelegenheit zu geben, sich zu einem abzu­se­hen­den negativen Ent­scheid zumindest schriftlich zu äussern (vgl. a.a.O. E. 5.7). Schliess­lich ist das Bundesamt in jedem Fall gehalten, das Ab­sehen von einer Befragung in der Ver­fügung über das Asylgesuch zu begründen.</w:t>
      </w:r>
    </w:p>
    <w:p>
      <w:r>
        <w:rPr>
          <w:b/>
        </w:rPr>
        <w:t>E. 4.1</w:t>
      </w:r>
    </w:p>
    <w:p>
      <w:r>
        <w:t>Die Beschwerdeführenden wurden im vorliegenden Verfahren nicht be­fragt; die Vorinstanz hat diesen Verzicht in ihrer Zwischenver­fügung vom 12. April 2010 damit begründet, dass der entscheidrelevante Sach­verhalt aufgrund der vorliegenden Akten als erstellt beurteilt werde. Mit glei­cher Verfügung setzte das BFM den Beschwerdeführenden eine Frist von 30 Tagen ab Erhalt der Verfügung zur Stellungnahme an. Die Verfügung vom 12. April 2010 wurde den Beschwerdeführenden ge­mäss aktenkundiger Empfangsbestätigung am 8. Juni 2010 eröffnet, die 30-tägige Frist endete demnach am 8. Juli 2010. Die Beschwerdeführenden reichten am 25. Juni 2010 - demnach frist­gerecht (vgl. Art. 21 Abs. 1 in fine VwVG) - bei der Schweizerischen Botschaft eine erste Stellungnahme zu den Akten. Mit Eingabe vom 21. Juli 2010, welche am 26. Juli 2010 bei der Botschaft einging, ergänzten die Beschwerdeführenden ihr Schreiben vom 25. Juni 2010 mit einem Schrei­ben und mehreren Beweismitteln.</w:t>
      </w:r>
    </w:p>
    <w:p>
      <w:r>
        <w:rPr>
          <w:b/>
        </w:rPr>
        <w:t>E. 4.2</w:t>
      </w:r>
    </w:p>
    <w:p>
      <w:r>
        <w:t>In der angefochtenen Verfügung vom 12. August 2010 hielt das BFM jedoch fälschlicherweise fest, die Beschwerdeführenden hätten die am 12. April 2010 gesetzte Frist zur Stellungnahme ungenutzt verstreichen las­sen.</w:t>
      </w:r>
    </w:p>
    <w:p>
      <w:r>
        <w:rPr>
          <w:b/>
        </w:rPr>
        <w:t>E. 4.3</w:t>
      </w:r>
    </w:p>
    <w:p>
      <w:r>
        <w:t>Nach dem Gesagten hat das BFM einerseits den Sachverhalt vor Er­lass seiner Verfügung unrichtig festgestellt und andererseits das rechtli­che Gehör der Beschwerdeführenden verletzt, indem es die fristgerechte Stellungnahme vom 25. Juni 2010 nicht berücksichtigt hat. Die ebenfalls vor Erlass der Verfügung unter der Bezeichnung "Ergän­zung zum Schreiben vom 25. Juni 2010" eingereichte ausführliche Stel­lungnahme vom 21. Juli 2010 wäre von der Vorinstanz unter dem Blick­win­kel von Art. 32 Abs. 2 VwVG zu prüfen gewesen; gemäss dieser Be­stimmung können verspätete Parteivorbringen von der Behörde trotz der Verspä­tung berücksichtigt werden, wenn sie ausschlaggebend erschei­nen.</w:t>
      </w:r>
    </w:p>
    <w:p>
      <w:r>
        <w:rPr>
          <w:b/>
        </w:rPr>
        <w:t>E. 4.4</w:t>
      </w:r>
    </w:p>
    <w:p>
      <w:r>
        <w:t>Die Tatsache, dass ihre fristgerechte Stellungnahme vom 25. Juni 2010 dem BFM durch die Schweizerische Botschaft erst am 5. August 2010 übermittelt wurde (wo sie am 13. August 2010, einen Tag nach Versand des negativen Asylentscheids, einging), darf sich selbstver­stän­dlich nicht zum Nachteil der Beschwerdeführenden auswirken.</w:t>
      </w:r>
    </w:p>
    <w:p>
      <w:r>
        <w:rPr>
          <w:b/>
        </w:rPr>
        <w:t>E. 4.5</w:t>
      </w:r>
    </w:p>
    <w:p>
      <w:r>
        <w:t>Unter diesen Umständen ist die angefochtene Verfügung aufzuheben und sind die Akten zur korrekten Durchführung des erstinstanzlichen Asyl­verfahrens an das BFM zurückzuweisen. Die Frage einer Heilung des pro­zessualen Fehlverhaltens der Vorinstanz stellt sich bei dieser Sach­lage nicht; abgesehen davon kann es nicht Sinn und Zweck des Be­schwer­de­verfahrens vor dem Bundesverwaltungsgericht sein, eine unvoll­stän­dige Sachverhaltsfeststellung der Vorinstanz nachzuholen.</w:t>
      </w:r>
    </w:p>
    <w:p>
      <w:r>
        <w:rPr>
          <w:b/>
        </w:rPr>
        <w:t>E. 4.6</w:t>
      </w:r>
    </w:p>
    <w:p>
      <w:r>
        <w:t>Die Feststellung, dass das BFM den Beschwerdeführenden das recht­liche Gehör nicht gewährt hat, führt indessen auch nicht dazu, dass ih­nen die Einreisebewilligung bereits aus diesem Grund zu bewilligen wä­re. Den Akten sind bei summarischer Durchsicht nicht genügend konkrete Anhaltspunkte für die Annahme zu entnehmen, den Beschwerde­füh­ren­den wäre ein Verbleib im Heimatstaat für die Dauer der weiteren, noch erforderlichen Verfahrenshandlungen nicht zu­mutbar im Sinn von Art. 20 Abs. 2 AsylG.</w:t>
      </w:r>
    </w:p>
    <w:p>
      <w:r>
        <w:rPr>
          <w:b/>
        </w:rPr>
        <w:t>E. 5</w:t>
      </w:r>
    </w:p>
    <w:p>
      <w:r>
        <w:t>Nach dem Gesagten ist die Beschwerde gutzuheissen, soweit die Aufhebung der vorin­stanzliche Verfügung vom 12. August 2010 beantragt wird. Die Vor­instanz ist anzuweisen, in Wahrung des Anspruchs auf rechtliches Gehör die Stellungnahmen der Beschwerdeführenden vom 25. Juni 2010 und 21. Juli 2010 in ihre Verfügung einfliessen, mithin den entscheidre­levanten Sachverhalt ergänzend vollständig festzustellen und zu wür­digen sowie gegebenenfalls in der Sache neu zu entscheiden.</w:t>
      </w:r>
    </w:p>
    <w:p>
      <w:r>
        <w:rPr>
          <w:b/>
        </w:rPr>
        <w:t>E. 6.1</w:t>
      </w:r>
    </w:p>
    <w:p>
      <w:r>
        <w:t>Bei diesem Ausgang des Verfahrens sind keine Kosten aufzuerlegen (Art. 63 Abs. 1 VwVG).</w:t>
      </w:r>
    </w:p>
    <w:p>
      <w:r>
        <w:rPr>
          <w:b/>
        </w:rPr>
        <w:t>E. 6.2</w:t>
      </w:r>
    </w:p>
    <w:p>
      <w:r>
        <w:t>Da die Beschwerdeführenden im Beschwerdeverfahren nicht an­walt­lich vertreten wurden, ist nicht davon auszugehen, ihnen seien durch die Beschwerdeführung unverhältnismässig hohe Kosten erwach­sen. Daher ist ihnen keine Parteientschädigung zuzusprechen (Art. 64 Abs. 1 VwVG und Art. 7 ff.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