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E-7282/2024 vom 18. Oktober 2024</w:t>
      </w:r>
    </w:p>
    <w:p>
      <w:r>
        <w:t>Bundesverwaltungsgericht, 2024-10-18, DE</w:t>
      </w:r>
    </w:p>
    <w:p>
      <w:r>
        <w:rPr>
          <w:b/>
        </w:rPr>
        <w:t xml:space="preserve">Quelle: </w:t>
      </w:r>
      <w:r>
        <w:t>https://mcp.opencaselaw.ch/entscheid/bvger_E-7282_2024_d20241018</w:t>
      </w:r>
    </w:p>
    <w:p>
      <w:r>
        <w:t>FR: TAF E-7282/2024 du 18 octobre 2024</w:t>
      </w:r>
    </w:p>
    <w:p>
      <w:r>
        <w:t>IT: TAF E-7282/2024 del 18 ottobre 2024</w:t>
      </w:r>
    </w:p>
    <w:p>
      <w:pPr>
        <w:pStyle w:val="Heading2"/>
      </w:pPr>
      <w:r>
        <w:t>Regeste</w:t>
      </w:r>
    </w:p>
    <w:p>
      <w:r>
        <w:t>Asyl und Wegweisung | Asyl und Wegweisung; Verfügung des SEM vom 18.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innert Frist be- 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E-7282/2024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mit der fehlenden flüchtlingsrechtlichen Relevanz und der Unglaubhaftigkeit der geltend gemachten Vorbringen.</w:t>
      </w:r>
    </w:p>
    <w:p>
      <w:r>
        <w:rPr>
          <w:b/>
        </w:rPr>
        <w:t>E. 5.1.1</w:t>
      </w:r>
    </w:p>
    <w:p>
      <w:r>
        <w:t>Die eingereichten Beweismittel seien aufgrund von Zweifeln an der Echtheit einer eingehenden Dokumentenanalyse unterzogen worden. Ein Vergleich mit authentischen Dokumenten und der Beizug von Informatio- nen der Länderanalyse habe hierbei ergeben, dass es sich «eindeutig um Fälschungen» handle. Das SEM habe danach gegenüber dem Beschwer- deführer die entsprechenden Erkenntnisse und Befunde dargelegt. In seiner Stellungnahme zum rechtlichen Gehör habe der Beschwerdefüh- rer dies zwar zu relativieren versucht und vorgebracht, türkische Strafge- richte vergäben die Referenznummern und die vorliegenden Nummern entsprächen der üblichen Praxis. Die erwähnten Gesetzesartikel entsprä- chen einer Vielzahl von Strafverfahren, die gegen angebliche Mitglieder der PKK oder anderer politischer Organisationen erhoben würden. Die festge- stellten Manipulationsspuren seien daher wohl einfach bei der Umwand- lung von einer «udf» zu einer «pdf»-Datei verursacht worden. Die auf dem Eingangsbeschluss aufgeführten Richter und Gerichtsschreiber und deren</w:t>
      </w:r>
    </w:p>
    <w:p>
      <w:r>
        <w:t>E-7282/2024 Seite 6 Registratur-Nummern stimmten seines Erachtens mit Einträgen in öffent- lich zugänglichen, staatlichen Quellen überein. Das SEM stellte fest, dass die vorgetragenen, punktuellen Erklärungsver- suche die klaren Fälschungsmerkmale nicht zu relativieren vermögen.</w:t>
      </w:r>
    </w:p>
    <w:p>
      <w:r>
        <w:rPr>
          <w:b/>
        </w:rPr>
        <w:t>E. 5.1.2</w:t>
      </w:r>
    </w:p>
    <w:p>
      <w:r>
        <w:t>Weiter führte die Vorinstanz aus, der Auszug aus UYAP-Avukat ent- halte keine Sicherheitsmerkmale und lasse keinerlei Rückschlüsse auf den vertretenen Mandanten zu. Eine Recherche habe ergeben, dass in G._______ gar kein registrierter Anwalt namens H._______ existiere, wes- halb auch hier erhebliche Zweifel an der Echtheit der eingereichten Be- weismittel (Schreiben eines heimatlichen Rechtsvertreters und Videos) aufkämen. Es existierten keine Beweismittel, die ihn klar mit dem geltend gemachten Verkehrsunfall in Verbindung brächten. In den eingereichten Berichten werde er weder namentlich erwähnt noch sei er auf dem Foto identifizier- bar. Ohnehin mache er damit nur eine Verfolgung durch Drittpersonen gel- tend, die flüchtlingsrechtlich nur relevant wäre, wenn der Staat nicht schutzwillig oder schutzfähig wäre. Entsprechendes liege nicht vor.</w:t>
      </w:r>
    </w:p>
    <w:p>
      <w:r>
        <w:rPr>
          <w:b/>
        </w:rPr>
        <w:t>E. 5.1.3</w:t>
      </w:r>
    </w:p>
    <w:p>
      <w:r>
        <w:t>Bezüglich der angeblichen Festnahme im Jahr 2023 wegen der Teil- nahme an Newroz «in traditioneller kurdischer Kleidung» sei Folgendes festzuhalten: Es sei allgemein bekannt, dass Angehörige der kurdischen Bevölkerung in der Türkei Schikanen und Benachteiligungen verschie- denster Art ausgesetzt sein könnten. Dabei handle es sich aber nicht um ernsthafte Nachteile im Sinne des Asylgesetzes, die einen Verbleib im Hei- matland verunmöglichten oder unzumutbar erschwerten. Aus diesem Grund führe die allgemeine Situation, in der sich die kurdische Bevölkerung befinde, gemäss gefestigter Praxis für sich allein nicht zur Anerkennung der Flüchtlingseigenschaft. Die geltend gemachten Schikanen gingen in ih- rer Intensität klar nicht über die Nachteile hinaus, welche weite Teile der kurdischen Bevölkerung in der Türkei in ähnlicher Weise treffen könnten.</w:t>
      </w:r>
    </w:p>
    <w:p>
      <w:r>
        <w:rPr>
          <w:b/>
        </w:rPr>
        <w:t>E. 5.1.4</w:t>
      </w:r>
    </w:p>
    <w:p>
      <w:r>
        <w:t>Hinsichtlich der behaupteten Tätigkeit für die HDP sei zwar nicht völ- lig auszuschliessen, dass es 2023 einmal zu einem Übergriff mit kurzzeiti- ger Festhaltung gekommen sei könnte, auch wenn es sich bei der HDP um eine legale Partei handle. Er sei aber nicht in exponierter Stellung für die HDP tätig gewesen. Eine asylrelevante Verfolgungslage liege nicht vor. Diese Schlussfolgerung gelte nach wie vor, obwohl auch die DTP im De- zember 2009 mit Urteil des türkischen Verfassungsgerichtes verboten</w:t>
      </w:r>
    </w:p>
    <w:p>
      <w:r>
        <w:t>E-7282/2024 Seite 7 worden sei. Mittlerweile seien als Nachfolgeparteien die neu gegründeten DBP (früher BDP) und HDP formell legal tätig. Ähnlich wie bei den früheren Verboten der Vorgängerparteien DEHAP und HADEP hätten namentlich einfache Parteimitglieder lediglich wegen ihrer damals legal gewesenen politischen Betätigung für die DTP nicht mit einer nachträglichen strafrecht- lichen Verfolgung oder mit sonstigen ernsthaften Nachteilen zu rechnen.</w:t>
      </w:r>
    </w:p>
    <w:p>
      <w:r>
        <w:rPr>
          <w:b/>
        </w:rPr>
        <w:t>E. 5.2</w:t>
      </w:r>
    </w:p>
    <w:p>
      <w:r>
        <w:t>In seiner Beschwerde entgegnet der Beschwerdeführer im Wesentli- chen, dass die eingereichten Unterlagen seines Erachtens nicht gefälscht seien, da er sie von seinem heimatlichen Rechtsvertreter erhalten habe. Dies gehe auch aus den übrigen Beweismitteln hervor. In formeller Hinsicht rügt er, das SEM habe den Sachverhalt unrichtig festgestellt: Es treffe nicht zu, dass er auf dem Video des Verkehrsunfalls nicht erkennbar sei, zumal er in die Kamera blicke und auch anhand seines (…) erkennbar sei.</w:t>
      </w:r>
    </w:p>
    <w:p>
      <w:r>
        <w:rPr>
          <w:b/>
        </w:rPr>
        <w:t>E. 6.1</w:t>
      </w:r>
    </w:p>
    <w:p>
      <w:r>
        <w:t>Nach Prüfung der Akten gelangt das Bundesverwaltungsgericht zum Schluss, dass die angefochtene Verfügung zu stützen ist. Das SEM ist mit überzeugender und ausführlicher Begründung zum Schluss gelangt, dass die Asylvorbringen den Anforderungen von Art. 3 AsylG nicht genügen. Mit den nachfolgenden beschwerdebezogenen Ergänzungen kann vollum- fänglich auf die zutreffenden und ausführlichen Ausführungen der Vor- instanz (vgl. a.a.O. E. II) verwiesen werden.</w:t>
      </w:r>
    </w:p>
    <w:p>
      <w:r>
        <w:rPr>
          <w:b/>
        </w:rPr>
        <w:t>E. 6.2</w:t>
      </w:r>
    </w:p>
    <w:p>
      <w:r>
        <w:t>Hinsichtlich des aus Sicht des Beschwerdeführers ungerechtfertigter- weise erhobenen Fälschungsvorhalts bringt er in der Beschwerde nichts vor, das dem klaren Fälschungsbefund in der Dokumentenanalyse etwas entgegenzusetzen vermöchte. Die Behauptung, er habe diese Unterlagen, deren Echtheit durch die angebrachten QR-Codes verifiziert werden könne, von seinem heimatlichen Rechtsvertreter erhalten, ist hierbei nicht zielführend. Dieser Einwand vermag die im Rahmen der Dokumentenana- lyse festgestellten, zahlreichen und klaren Fälschungsmerkmale nicht aus- zuräumen. Ebenso wenig vermag er mit dem pauschalen Hinweis auf das vorinstanzlich eingereichte Bildschirm-Video den Beweis für die Echtheit der eingereichten heimatlichen Justizdokumente zu erbringen, zumal sich die Vorinstanz in der angefochtenen Verfügung hinlänglich zu dessen (tie- fen) Beweiswert geäussert hat (vgl. a.a.O. Ziff. II 2). Wegen den gefälsch- ten Dokumenten ist zudem seine persönliche Glaubwürdigkeit erschüttert (vgl. hierzu Urteil des BVGer E-5618/2024 vom 20. Dezember 2024 E. 6.3.3).</w:t>
      </w:r>
    </w:p>
    <w:p>
      <w:r>
        <w:t>E-7282/2024 Seite 8</w:t>
      </w:r>
    </w:p>
    <w:p>
      <w:r>
        <w:rPr>
          <w:b/>
        </w:rPr>
        <w:t>E. 6.3</w:t>
      </w:r>
    </w:p>
    <w:p>
      <w:r>
        <w:t>In Bezug auf die rechtsmittelweise vorgetragene Rüge, dass der Be- schwerdeführer als Beteiligter eines Verkehrsunfalls ausreichend identifi- zierbar sei, kann auch diesbezüglich auf die einschlägigen Erwägungen in der angefochtenen Verfügung verwiesen werden. Letztlich kann aber – wie die Vorinstanz auch zu Recht ausgeführt hat – diese Frage im Ergebnis getrost offengelassen werden. Die im Zusammenhang mit dem behaupte- ten Verkehrsunfall mit Privatpersonen angeblich erlebten Anfeindungen stellen lediglich Probleme mit Dritten dar, für deren Lösung der Betroffene gehalten wäre, sich an die Behörden seines Heimatstaates zu wenden. Es gibt keinen Grund, weshalb er sich bezüglich der im Zusammenhang mit dem angeblichen Verkehrsunfall stehenden Probleme nicht hilfesuchend an die heimatlichen Behörden oder einen dortigen Anwalt wenden könnte.</w:t>
      </w:r>
    </w:p>
    <w:p>
      <w:r>
        <w:rPr>
          <w:b/>
        </w:rPr>
        <w:t>E. 6.4</w:t>
      </w:r>
    </w:p>
    <w:p>
      <w:r>
        <w:t>Hinsichtlich der auf Rechtsmittelebene nachgereichten heimatlichen Unterlagen ist weiter festzuhalten, dass auch diese zu keiner anderen Sichtweise führen. Hierzu ist vorab festzuhalten, dass diese Dokumente teilweise nur in Form teils schwer lesbarer Fotografien vorliegen, die einer eingehenden Prüfung nur eingeschränkt zugänglich sind. Zusätzlich ist mit aller Deutlichkeit auf den Umstand hinzuweisen, dass der Beschwerdefüh- rer bereits im Rahmen des vorinstanzlichen Verfahrens zahlreiche heimat- liche justizielle Dokumente eingereicht hat, die sodann von der Vorinstanz geprüft und dort bereits «eindeutig als Fälschungen» qualifiziert wurden. Bemerkenswert erscheint im Übrigen auch der Umstand, dass der Be- schwerdeführer mit den auf Rechtsmittelstufe eingereichten Beweismitteln ein Strafverfahren wegen Propaganda für eine Terrororganisation geltend macht; dies obgleich die vorinstanzlich eingereichten Beweismittel bereits aufgrund desselben Tatvorwurfs als gefälscht eingestuft wurden (vgl. act. 31; vgl. act. 14 ID-012). Die Echtheit dieser (ohnehin bloss als Fo- tografie vorliegenden) Unterlagen ist daher ebenfalls anzuzweifeln. Den entsprechenden Beweismitteln kann daher in dieser Form kein rechts- tragender Beweiswert zuerkannt werden. Doch selbst bei Wahrunterstel- lung der Authentizität würden diese ohnehin noch zu keiner begründeten Furcht vor Verfolgungsmassnahmen im Sinne von Art. 3 AsylG führen. Viel- mehr wäre bei einer Anklage erforderlich, dass ein Gericht eine solche überhaupt einmal mit beachtlicher Wahrscheinlichkeit als begründet erach- ten würde, ein Gerichtsverfahren eröffnet, den Betroffenen aus einem asyl- relevanten Motiv verurteilt hätte, die Verurteilung eine flüchtlingsrechtlich relevante Intensität aufweist und über alle Instanzen hinweg Bestand hätte (vgl. Referenzurteil des BVGer E-4103/2024 vom 8. November 2024 E. 8.2</w:t>
      </w:r>
    </w:p>
    <w:p>
      <w:r>
        <w:t>E-7282/2024 Seite 9 ff.). Entsprechendes liegt in casu aber nicht vor. Und selbst bei einer effek- tiven Verurteilung käme er als «Ersttäter» in den Genuss einer bedingten Strafe.</w:t>
      </w:r>
    </w:p>
    <w:p>
      <w:r>
        <w:rPr>
          <w:b/>
        </w:rPr>
        <w:t>E. 6.5</w:t>
      </w:r>
    </w:p>
    <w:p>
      <w:r>
        <w:t>Auch das politische Engagement (Mitglied der HDP, Teilnahme an Ver- anstaltungen und Stimmenfang) ist bloss niederschwellig und vermag nach konstanter Praxis keine asylrelevante Verfolgungsgefahr zu begründen (vgl. Urteile des BVGer D-1554/2022 vom 29. Juli 2022 E. 7.1 und D- 4879/2020 vom 30. Mai 2022 E. 6.1.2).</w:t>
      </w:r>
    </w:p>
    <w:p>
      <w:r>
        <w:rPr>
          <w:b/>
        </w:rPr>
        <w:t>E. 6.6</w:t>
      </w:r>
    </w:p>
    <w:p>
      <w:r>
        <w:t>Mit den übrigen auf Rechtsmittelebene eingereichten Beweismitteln in türkischer Sprache (Schreiben seines heimatlichen Rechtsvertreters und zwei Bildauszüge von «I._______») vermag er nichts zu seinen Gunsten ableiten, zumal mangels entsprechenden, substantiierten Beschwerdeaus- führungen gar nicht ersichtlich ist, inwiefern diese Dokumente die vo- rinstanzliche Argumentation umzustossen vermöchten.</w:t>
      </w:r>
    </w:p>
    <w:p>
      <w:r>
        <w:rPr>
          <w:b/>
        </w:rPr>
        <w:t>E. 6.7</w:t>
      </w:r>
    </w:p>
    <w:p>
      <w:r>
        <w:t>Insgesamt gelangt das Gericht daher zu der Erkenntnis, dass die Vor- instanz die Flüchtlingseigenschaft des Beschwerdeführers zu Recht ver- neint und das Asylgesuch ebenfalls zu Recht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w:t>
      </w:r>
    </w:p>
    <w:p>
      <w:r>
        <w:rPr>
          <w:b/>
        </w:rPr>
        <w:t>E. 7.1</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E-7282/2024 Seite 10 wenn der strikte Beweis möglich ist, und andernfalls wenigstens glaubhaft zu machen (vgl. BVGE 2011/24 E. 10.2 m.w.H.).</w:t>
      </w:r>
    </w:p>
    <w:p>
      <w:r>
        <w:rPr>
          <w:b/>
        </w:rPr>
        <w:t>E. 8.2.1</w:t>
      </w:r>
    </w:p>
    <w:p>
      <w:r>
        <w:t>Der Vollzug ist unzulässig, wenn völkerrechtliche Verpflichtungen der Schweiz einer Weiterreise der Ausländerin oder des Ausländers in den Hei- 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w:t>
      </w:r>
    </w:p>
    <w:p>
      <w:r>
        <w:t>E-7282/2024 Seite 11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Im Februar 2023 forderten schwere Erdbeben im Südosten der Tür- kei tausende Todesopfer und zerstörten Grossteile der Infrastruktur. Der Vollzug der Wegweisung in eine der elf betroffenen Provinzen (Kahraman- maras, Hatay, Gaziantep, Osmaniye, Malatya, Adiyaman, Adana, Diyarba- kir, Kilis, Sanliurfa und Elazig) ist gemäss aktueller Rechtsprechung nicht generell unzumutbar, wobei die Beurteilung der Zumutbarkeit des Wegwei- sungsvollzugs im Rahmen einer einzelfallweisen Prüfung der individuellen Lebenssituation der Betroffenen vorzunehmen und dabei insbesondere der Situation vulnerabler Personen gebührend Rechnung zu tragen ist (vgl. Referenzurteil des BVGer E-1308/2023 vom 19. März 2024 E. 11.3).</w:t>
      </w:r>
    </w:p>
    <w:p>
      <w:r>
        <w:rPr>
          <w:b/>
        </w:rPr>
        <w:t>E. 8.3.3</w:t>
      </w:r>
    </w:p>
    <w:p>
      <w:r>
        <w:t>Es liegen keine Anhaltspunkte dafür vor, dass die Rückkehr des Be- schwerdeführers unzumutbar wäre. Diesbezüglich kann mangels substan- tiierter Beschwerdeausführungen vollständig auf die zutreffenden Erwä- gungen der Vorinstanz verwiesen werden (vgl. a.a.O. E. III Ziff. 2). Der pau- schale Einwand in der Beschwerde, er stamme aus dem vom Erdbeben betroffenen G._______, vermag nicht zu einer anderen Ansicht führen. Oh- nehin steht es dem Beschwerdeführer frei, sich in einer anderen Region, wie beispielsweise in F._______, wo er bereits gelebt hat, niederzulassen.</w:t>
      </w:r>
    </w:p>
    <w:p>
      <w:r>
        <w:rPr>
          <w:b/>
        </w:rPr>
        <w:t>E. 8.3.4</w:t>
      </w:r>
    </w:p>
    <w:p>
      <w:r>
        <w:t>Der Vollzug der Wegweisung erweist sich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E-7282/2024 Seite 12</w:t>
      </w:r>
    </w:p>
    <w:p>
      <w:r>
        <w:rPr>
          <w:b/>
        </w:rPr>
        <w:t>E. 8.5</w:t>
      </w:r>
    </w:p>
    <w:p>
      <w:r>
        <w:t>Zusammenfassend hat die Vorinstanz den Wegweisungsvollzug zu Recht als zulässig, zumutbar und möglich bezeichnet. Eine Anordnung der vorläufigen Aufnahme fällt somit ausser Betracht (Art. 83 Abs. 1–4 AIG). Die beantragte vorläufige Aufnahme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Der Rück- weisungsantrag ist ebenfalls abzuweisen. Die Vorinstanz hat sich mit sämt- lichen zentralen Vorbringen des Beschwerdeführers über den vorgetrage- nen Verkehrsunfall auseinandergesetzt (vgl. hierzu E. 5.1). Eine unrichtige Feststellung des rechtserheblichen Sachverhaltes liegt nicht vor.</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geleistete Kostenvorschuss in gleicher Höhe ist zur Bezahlung der Verfahrenskosten zu verwenden.</w:t>
      </w:r>
    </w:p>
    <w:p>
      <w:r>
        <w:t>(Dispositiv nächste Seite)</w:t>
      </w:r>
    </w:p>
    <w:p>
      <w:r>
        <w:t>E-7282/2024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