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E-7278/2013 vom 24. September 2014</w:t>
      </w:r>
    </w:p>
    <w:p>
      <w:r>
        <w:t>Bundesverwaltungsgericht, 2014-09-24, DE</w:t>
      </w:r>
    </w:p>
    <w:p>
      <w:r>
        <w:rPr>
          <w:b/>
        </w:rPr>
        <w:t xml:space="preserve">Quelle: </w:t>
      </w:r>
      <w:r>
        <w:t>https://mcp.opencaselaw.ch/entscheid/bvger_E-7278_2013</w:t>
      </w:r>
    </w:p>
    <w:p>
      <w:r>
        <w:t>FR: TAF E-7278/2013 du 24 septembre 2014</w:t>
      </w:r>
    </w:p>
    <w:p>
      <w:r>
        <w:t>IT: TAF E-7278/2013 del 24 settembre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was insbesondere dann nicht der Fall ist, wenn er seine Vorbringen auf gefälschte oder verfälschte Beweismittel abstützt, aber auch dann, wenn er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Entscheidend ist, ob die Gründe, die für die Richtigkeit der Sachverhaltsdarstellung des Gesuchstellers sprechen, überwiegen oder nicht. Dabei ist auf eine objektivierte Sichtweise abzu­stellen (Art. 7 AsylG; vgl. BVGE 2010/57 S. 826 ff., m.w.H.).</w:t>
      </w:r>
    </w:p>
    <w:p>
      <w:r>
        <w:rPr>
          <w:b/>
        </w:rPr>
        <w:t>E. 5.1</w:t>
      </w:r>
    </w:p>
    <w:p>
      <w:r>
        <w:t>Das Bundesamt begründete seinen ablehnenden Entscheid im Wesentlichen damit, gewisse Vorbringen des Beschwerdeführers seien einerseits nachgeschoben, widersprüchlich, unsubstanziiert und zu wenig konkret, detailliert und differenziert dargestellt worden, weshalb die geltend gemachten Festnahmen und die polizeilichen Suchen in seinem Elternhaus nicht geglaubt werden könnten. So habe er erst anlässlich der Bundesanhörung vorgebracht, bei der zweiten Festnahme auf dem Polizeiposten verhört und geschlagen worden zu sein. Zudem habe er bei der summarischen Befragung ausgesagt, in seinem Quartier seien von Aleviten bewohnte Häuser beschriftet worden, während er bei der Anhörung angegeben habe, es sei nur das Haus seines Vaters betroffen gewesen. Ferner habe er erst bei der Anhörung vorgebracht, dass er sich während zwei Jahren gewerkschaftlich betätigt habe und dies der Grund für die Kündigung gewesen sei. Auch habe er die Dauer der beiden erwähnten Festnahmen unterschiedlich geschildert. Die Erklärungsversuche des Beschwerdeführers, wonach es sich nur um ungefähre Angaben handle und er seit seiner Kindheit an Vergesslichkeit leide, wurden als ungeeignet bezeichnet, um seine widersprüchlichen Angaben erklären zu können. Im Weiteren bezeichnete die Vorinstanz die Ausführungen des Beschwerdeführers zu seinem Aufenthaltsort und zum Zeitpunkt, als er polizeilich gesucht worden sei, als widersprüchlich. Auch habe er bezüglich der geltend gemachten polizeilichen Suchen keine weitergehenden Angaben machen können, obwohl davon auszugehen sei, dass eine Person in einer derartigen Lage sich nach allen Einzelheiten erkundigen würde. Schliesslich bezeichnete die Vorinstanz die geltend gemachten polizeilichen Angriffe mit Pfefferspray, Tränengas und Wasserwerfern anlässlich von Kundgebungen, an denen der Beschwerdeführer teilgenommen habe, als asylrechtlich nicht relevant, da sich diese gegen alle Protestierenden gerichtet hätten. Es bestünde zudem kein Anlass zur Annahme, dass seine Identität im Zusammenhang mit den Gezi-Park-Protesten oder anderen Kundgebungen den türkischen Behörden bekannt geworden sei. Schliesslich sprach die Vorinstanz den geltend gemachten Benachteiligungen aufgrund der ethnischen und religiösen Zugehörigkeit des Beschwerdeführers sowie dessen gewerkschaftlicher Tätigkeit ebenso die Asylrelevanz ab wie der Kennzeichnung von Häusern von Aleviten in seinem Quartier und seiner Befürchtung, in den Militärdienst eingezogen zu werden.</w:t>
      </w:r>
    </w:p>
    <w:p>
      <w:r>
        <w:rPr>
          <w:b/>
        </w:rPr>
        <w:t>E. 5.2</w:t>
      </w:r>
    </w:p>
    <w:p>
      <w:r>
        <w:t>Der Beschwerdeführer hält dazu in seiner Rechtsmitteleingabe fest, Asylbewerber würden bei der summarischen Befragung zur Kürze angehalten. Er habe im EVZ angegeben, bereits vor den Gezi-Park-Protesten politisch aktiv gewesen und von der Polizei mehrmals unter Druck gesetzt worden zu sein. Bei jenen Protesten sei es zu Menschenrechtsverletzungen, Toten und Verletzten gekommen. Er sei wegen seinen politischen Aktivitäten und Teilnahmen an Demonstrationen zweimal festgenommen und jeweils menschenunwürdig behandelt, bei der zweiten auch psychisch und physisch gefoltert worden. Das Vorgehen der Polizei werde auch im eingereichten Bericht von Amnesty International zu den Gezi-Park-Protesten erwähnt, womit seine Angaben zutreffen würden. Er sei zwar freigelassen worden, rechne jedoch damit, nach der Auswertung der Videoaufzeichnungen der Proteste erneut festgenommen und seitens der Staatsanwaltschaft angeklagt zu werden. Die Polizei habe schliesslich die Wohnung seines Vaters gestürmt in der Annahme, dass er sich dort befinden würde. Aus diesem Grund habe er begründete Furcht vor einer erneuten Festnahme im Falle einer Rückkehr in die Türkei. Schliesslich gehöre er der alevitischen Minderheit an, die weiterhin unterdrückt werde und deren Häuser vor einem Massaker gekennzeichnet würden. Dies sei auch bei seinem Haus gemacht worden. Ausserdem sei ihm als jahrelang aktives Mitglied der Gewerkschaft Birlesik Metal-Is fristlos gekündigt worden. In den eingereichten Schreiben der Arbeitergewerkschaft Birlesik Metal-Is wird bestätigt, dass der Beschwerdeführer am (...) 2010 als deren Mitglied aufgenommen worden sei. Weiter wird bescheinigt, dass er sich aktiv an der Organisation der Arbeiter beteiligt habe und ihm "danach" gekündigt worden sei.</w:t>
      </w:r>
    </w:p>
    <w:p>
      <w:r>
        <w:rPr>
          <w:b/>
        </w:rPr>
        <w:t>E. 6.1</w:t>
      </w:r>
    </w:p>
    <w:p>
      <w:r>
        <w:t>Das Bundesverwaltungsgericht gelangt nach Prüfung der Akten zum Schluss, dass das Asylgesuch des Beschwerdeführers zu Recht abgewiesen worden ist. Die Vorinstanz hat den Sachverhalt genügend abgeklärt und in ihrem Entscheid die Gründe angeführt, welche auf die fehlende Glaubhaftigkeit und die fehlende Asylrelevanz der Vorbringen des Beschwerdeführers schliessen lassen. Die Ausführungen in der Beschwerdeschrift sowie die eingereichten Beweismittel vermögen an dieser Sichtweise nichts zu ändern. Zur Vermeidung von Wiederholungen kann vorab auf die entsprechenden Ausführungen im angefochtenen Entscheid verwiesen werden.</w:t>
      </w:r>
    </w:p>
    <w:p>
      <w:r>
        <w:rPr>
          <w:b/>
        </w:rPr>
        <w:t>E. 6.2</w:t>
      </w:r>
    </w:p>
    <w:p>
      <w:r>
        <w:t>Entgegen der Argumentation in der Beschwerdeschrift, wonach Asylbewerber bei der summarischen Befragung zur Kürze angehalten würden, weshalb die dortigen Vorbringen zur Beurteilung der Glaubhaftigkeit nicht herangezogen werden dürften, ist zwar festzustellen, dass den Aussagen in der Empfangsstelle zu den Ausreisegründen angesichts des summarischen Charakters dieser Befragung für die Beurteilung der Glaubhaftigkeit der vorgebrachten Asylgründe nur ein beschränkter Beweiswert zukommt. Widersprüche dürfen für die Beurteilung der Glaubwürdigkeit aber dann herangezogen werden, wenn Aussagen in der Empfangsstelle in wesentlichen Punkten von den späteren Aussagen in der Anhörung diametral abweichen, oder wenn bestimmte Ereignisse oder Befürchtungen, welche später als zentrale Asylgründe genannt werden, nicht bereits in der Empfangsstelle zumindest ansatzweise erwähnt worden sind. Dem Befragungsprotokoll des EVZ kann entnommen werden, dass der Beschwerdeführer hinsichtlich der Dauer der zwei Festnahmen im Anschluss an die Teilnahme an den Gezi-Park-Protesten andere Angaben als bei der späteren Bundesanhörung gemacht hat. So sei er am 1. Mai 2012 und ein zweites Mal vor zirka sechs Monaten auf den Posten mitgenommen und nach ein bis zwei Tagen wieder freigelassen worden (vgl. Akte A3 S. 8). Demgegenüber machte er anlässlich der Bundesanhörung geltend, er sei bei der ersten Festnahme am 1. Mai 2012 nach C._______ mitgenommen und nach einigen Tagen wieder freigelassen worden. Bei der zweiten Festnahme vor zirka sechs Monaten sei er an denselben Ort mitgenommen und eine Woche lang festgehalten worden (vgl. Akte A4 S. 5). Zudem hat er die an ihm verübte Gewaltanwendung erst bei der Bundesanhörung erwähnt. So sprach er hinsichtlich der ersten Festnahme von ein paar Schlägen; bei der zweiten Festnahme sei er mit Hochdruckwasser bespritzt und verhört worden, wobei die Gewaltanwendung diesmal noch heftiger ausgefallen und auch seine Familie bedroht worden sei. Der Beschwerdeführer vermag diese widersprüchlichen respektive nachgeschobenen Vorbringen weder mit dem Einwand anlässlich der Bundesanhörung, wonach es normal sei, dass man sich nicht an Daten und Dauer erinnern könne und er unter Vergesslichkeit leide, noch mit dem Hinweis auf einen Bericht von Amnesty International zu den Gezi-Park-Protesten, in denen von brutaler Polizeigewalt und schweren Menschenrechtsverletzungen berichtet wird, zu erklären, zumal es sich bei diesen Vorbringen um einen zentralen Punkt seiner Gesuchsbegründung handelt. Überdies wurde dem Beschwerdeführer im EVZ mehrmals Gelegenheit gegeben, seine Gesuchsvorbringen zu ergänzen und allfällige weitere Gründe anzugeben, wovon er im Übrigen auch Gebrauch gemacht hat (vgl. A3 S. 8). Daher konnte von ihm erwartet werden, dass er alle wesentlichen Punkte im EVZ zumindest ansatzweise erwähnt. Im Weiteren ist den vorinstanzlichen Erwägungen zuzustimmen, wonach der Beschwerdeführer keine Angaben zu den polizeilichen Nachfragen (Datum, Gründe) bei seinem Vater machen konnte. Anlässlich der Anhörung gab er auf entsprechende Fragen zu Protokoll, sie (er und sein Vater) hätten nicht viel miteinander gesprochen. Das Gespräch habe nicht lange gedauert und er habe nie mehr mit ihm darüber gesprochen. Dabei wäre jedoch zu erwarten gewesen, dass er sich über die genauen Umstände der gegen ihn eingeleiteten polizeilichen Massnahmen erkundigt. Ein derartiges Desinteresse entspricht jedenfalls nicht dem Verhalten einer Person, die sich ernsthaft davor fürchtet, festgenommen zu werden. Ferner spricht auch die erst anlässlich der Bundesanhörung angegebene Begründung, wegen seiner zweijährigen gewerkschaftlichen Tätigkeit die fristlose Kündigung erhalten zu haben, gegen seine persönliche Glaubwürdigkeit.</w:t>
      </w:r>
    </w:p>
    <w:p>
      <w:r>
        <w:rPr>
          <w:b/>
        </w:rPr>
        <w:t>E. 6.3</w:t>
      </w:r>
    </w:p>
    <w:p>
      <w:r>
        <w:t>Was schliesslich die von den Sicherheitskräften anlässlich der Unterdrückung der Gezi-Park-Proteste ausgeübte Gewalt - Angriffe mit Pfefferspray, Tränengas und Wasserwerfern - betrifft, vertritt das Bundesverwaltungsgericht die gleiche Ansicht wie das BFM, wonach sich diese insgesamt gegen den Protest als solchen und nicht gezielt gegen Einzelne gerichtet haben. Zudem lässt sich aus den geltend gemachten Benachteiligungen respektive Befürchtungen des Beschwerdeführers, wegen seiner alevitischen Abstammung künftig asylrelevanten Nachteilen ausgesetzt zu werden, ebenso keine konkrete Bedrohung im Sinne des Asylgesetzes für ihn ableiten. Überdies ist den vorinstanzlichen Erwägungen zuzustimmen, wonach bezüglich des befürchteten Einzugs in den Militärdienst keine im Sinne von Art. 3 Abs. 1 AsylG relevante Verfolgungsmotivation vorliegt, zumal diese staatlichen Massnahmen der Durchsetzung staatsbürgerlicher Pflichten dienen. Daran vermag auch die aktuelle Situation in der Region nichts zu ändern.</w:t>
      </w:r>
    </w:p>
    <w:p>
      <w:r>
        <w:rPr>
          <w:b/>
        </w:rPr>
        <w:t>E. 6.4</w:t>
      </w:r>
    </w:p>
    <w:p>
      <w:r>
        <w:t>Aufgrund der vorstehenden Erwägungen erübrigt es sich, auf die weiteren Ausführungen in der Beschwerde und die Beweismittel weiter einzugehen, weil sie am Ergebnis nichts ändern. Unter Berücksichtigung der gesamten Umstände kommt das Bundesverwaltungsgericht zum Schluss, dass der Beschwerdeführer keine Gründe nach Art. 3 AsylG nachweisen oder glaubhaft machen konnte. Die Vorinstanz hat folglich zu Recht die Flüchtlingseigenschaft verneint und sein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8.5</w:t>
      </w:r>
    </w:p>
    <w:p>
      <w:r>
        <w:t>In der Türkei herrscht keine Situation allgemeiner Gewalt. Aufgrund der Akten besteht kein Grund zur Annahme, der Beschwerdeführer gerate im Falle einer Rückkehr in die Türkei aus individuellen Gründen wirtschaftlicher, sozialer oder gesundheitlicher Natur in eine existenzbedrohende Situation, die den Vollzug der Wegweisung unzumutbar machen würde, zumal er über eine achtjährige Schulbildung sowie mehrjährige Berufserfahrungen als angelernter (...) und aus anderen Tätigkeiten verfügt. Zudem leben sein Vater sowie weitere nahe Angehörige in der Türkei (vgl. Akten A3 S. 5). Es kann auch davon ausgegangen werden, dass er in Istanbul, wo er seit vierzehn oder fünfzehn Jahren gewohnt habe (vgl. Akte 4 S. 2), über einen Bekanntenkreis und damit ein Beziehungsnetz verfügt, auf das er zurückgreifen und das ihm allenfalls beim Neuaufbau einer Existenz Hilfe bieten kann. Nach dem Gesagten erweist sich der Vollzug der Wegweisung auch als zumutbar.</w:t>
      </w:r>
    </w:p>
    <w:p>
      <w:r>
        <w:rPr>
          <w:b/>
        </w:rPr>
        <w:t>E. 8.6</w:t>
      </w:r>
    </w:p>
    <w:p>
      <w:r>
        <w:t>Schliesslich obliegt es dem Beschwerdeführer, der über eine türkische Identitätskarte verfügt,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8.7</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