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E-7275/2017 vom 16. Mai 2019</w:t>
      </w:r>
    </w:p>
    <w:p>
      <w:r>
        <w:t>Bundesverwaltungsgericht, 2019-05-16, DE</w:t>
      </w:r>
    </w:p>
    <w:p>
      <w:r>
        <w:rPr>
          <w:b/>
        </w:rPr>
        <w:t xml:space="preserve">Quelle: </w:t>
      </w:r>
      <w:r>
        <w:t>https://mcp.opencaselaw.ch/entscheid/bvger_E-7275_2017</w:t>
      </w:r>
    </w:p>
    <w:p>
      <w:r>
        <w:t>FR: TAF E-7275/2017 du 16 mai 2019</w:t>
      </w:r>
    </w:p>
    <w:p>
      <w:r>
        <w:t>IT: TAF E-7275/2017 del 16 maggio 2019</w:t>
      </w:r>
    </w:p>
    <w:p>
      <w:pPr>
        <w:pStyle w:val="Heading2"/>
      </w:pPr>
      <w:r>
        <w:t>Regeste</w:t>
      </w:r>
    </w:p>
    <w:p>
      <w:r>
        <w:t>Asyl und Wegweisung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w:t>
      </w:r>
    </w:p>
    <w:p>
      <w:r>
        <w:t>Die Vorinstanz gelangt in der angefochtenen Verfügung zum Schluss, die Vorbringen des Beschwerdeführers genügten den Anforderungen an das Glaubhaftmachen im Sinne von Art. 7 AsylG nicht. Die Angaben zum angeblich erhaltenen und missachteten Aufgebot seien wenig substantiiert ausgefallen. Er habe dazu keine wesentlichen Elemente konkret und überzeugend darlegen können. Seine Ausführungen enthielten keine zusätzlichen persönlichen Erlebnisse und Erinnerungen, sondern hätten sich fast ausschliesslich auf äussere Abläufe bezogen. Jeglichen persönlichen Bezug und Realkennzeichen habe er vermissen lassen. Angesichts des Umstandes, dass das Aufgebot ein wesentliches Element der vorgebrachten Gefährdungssituation darstelle, sei nicht nachvollziehbar, weshalb er diese Situation nur vage und oberflächlich habe beschreiben können. Darüber hinaus beinhalteten seine Sachverhaltsschilderungen Unstimmigkeiten. Anlässlich der BzP habe er erwähnt, das militärische Aufgebot am Tag der Haftentlassung der Mutter enthalten zu haben. Im Rahmen der Anhörung habe er ausgeführt, seine Mutter sei zum damaligen Zeitpunkt noch in Haft gewesen.</w:t>
      </w:r>
    </w:p>
    <w:p>
      <w:r>
        <w:rPr>
          <w:b/>
        </w:rPr>
        <w:t>E. 6.1</w:t>
      </w:r>
    </w:p>
    <w:p>
      <w:r>
        <w:t>Der Beschwerdeführer hält in der Rechtsmitteleingabe an der Glaubhaftigkeit seiner Aussagen fest und rügt eine Verletzung von Art. 7 AsylG durch die Vorinstanz.</w:t>
      </w:r>
    </w:p>
    <w:p>
      <w:r>
        <w:rPr>
          <w:b/>
        </w:rPr>
        <w:t>E. 6.2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einer Verfolgung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sowie BVGE 2013/11 E. 5.1; Anne Kneer und Linus Sonderegger, Glaubhaftigkeitsprüfung im Asylverfahren - Ein Überblick über die Rechtsprechung des Bundesverwaltungsgerichts, Asyl 2/2015 S. 5).</w:t>
      </w:r>
    </w:p>
    <w:p>
      <w:r>
        <w:rPr>
          <w:b/>
        </w:rPr>
        <w:t>E. 6.3</w:t>
      </w:r>
    </w:p>
    <w:p>
      <w:r>
        <w:t>Zunächst ist mit dem Beschwerdeführer festzustellen, dass seine allgemeinen Schilderungen zu den Razzien respektive zu den Rekrutierungspraktiken der eritreischen Behörden detailliert und substantiiert ausgefallen sind, mithin nicht angezweifelt werden (vgl. dazu z.B. SEM-Akte A15/19 F40, F45 und F71). Wesentlich respektive massgebend ist vorliegend jedoch die Beurteilung der Glaubhaftigkeit des den Beschwerdeführer konkret betreffenden Rekrutierungsversuches durch die eritreischen Behörden. Die Vorinstanz erachtet die diesbezüglichen Darlegungen des Beschwerdeführers als insgesamt vage, oberflächlich und substanzlos. Dieser Schlussfolgerung kann nicht gefolgt werden. Der Beschwerdeführer hat anschaulich dargelegt, wie sein Alltag in Eritrea ausgesehen und wie er sich verhalten hat, um den Kontakt zu den eritreischen Behörden zu vermeiden (vgl. SEM-Akte A15/19 F38). Weiter hat er glaubhaft geschildert, dass das Aufgebot seiner (...) und nicht ihm persönlich übergeben worden sei, da er jeweils nur (...) nach Hause gekommen sei (vgl. a.a.O. F52 f. und F63). So konnte er auch die Interaktion mit seiner (...) an jenem Tag darlegen: "Ich habe ein Schreiben in der Hand gehalten. Nämlich jenes, welches ich von der (...) erhalten habe. Bei dieser Gelegenheit hat mir meine (...) gesagt, man habe mir bereits einmal so etwas geschickt und nun sei ein zweites gekommen. Beim nächsten Mal würde man mich mitnehmen. Ob das wirklich so war oder ob mir meine (...) nur Angst machen wolle, kann ich nicht sagen" (vgl. a.a.O. F79). Als Realkennzeichen ist sodann insbesondere die Bemerkung des Beschwerdeführers zu werten, wonach er das Aufgebot in tigrynischer Sprache nicht habe lesen können und deshalb sein Nachbar dieses für ihn habe übersetzen müssen (vgl. a.a.O. F37). Zudem konnte er auch Angaben zum Inhalt des Militäraufgebotes machen (vgl. a.a.O. F82 ff.). Die von der Vorinstanz erwähnte Unstimmigkeit betreffend den Aufenthaltsort der Mutter zum Zeitpunkt des Erhalts des Militäraufgebotes ist im Rahmen der Gesamtbeurteilung der Glaubhaftigkeit der Vorbringen des Beschwerdeführers als nebensächlich einzustufen. Insgesamt ergibt sich, dass die Vorbringen des Beschwerdeführers glaubhaft sind.</w:t>
      </w:r>
    </w:p>
    <w:p>
      <w:r>
        <w:rPr>
          <w:b/>
        </w:rPr>
        <w:t>E. 7.1</w:t>
      </w:r>
    </w:p>
    <w:p>
      <w:r>
        <w:t>Somit bleibt zu prüfen, ob die glaubhaften Vorbringen des Beschwerdeführers (Dienstverweigerung) im Sinne von Art. 3 AsylG asylrelevant sind.</w:t>
      </w:r>
    </w:p>
    <w:p>
      <w:r>
        <w:rPr>
          <w:b/>
        </w:rPr>
        <w:t>E. 7.2</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Veränderungen der objektiven Situation im Heimatstaat zwischen dem Ausreisezeitpunkt und dem Zeitpunkt des Asylentscheids sind deshalb zugunsten und zulasten der Asylsuchenden zu berücksichtigen (vgl. dazu BVGE 2010/57 E. 2 m.w.H.).</w:t>
      </w:r>
    </w:p>
    <w:p>
      <w:r>
        <w:rPr>
          <w:b/>
        </w:rPr>
        <w:t>E. 7.3</w:t>
      </w:r>
    </w:p>
    <w:p>
      <w:r>
        <w:t>Wehrdienstverweigerung oder Desertion vermögen für sich allein die Flüchtlingseigenschaft nicht zu begründen, sondern nur dann, wenn damit eine Verfolgung im Sinne von Art. 3 Abs. 1 AsylG verbunden ist, mit anderen Worten wenn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Im spezifisch eritreischen Kontext können Wehrdienstverweigerung oder Desertion - unter bestimmten Umständen - zur Anerkennung der Flüchtlingseigenschaft führen (vgl. zum Ganzen BVGE 2015/3 E. 5.9).</w:t>
      </w:r>
    </w:p>
    <w:p>
      <w:r>
        <w:rPr>
          <w:b/>
        </w:rPr>
        <w:t>E. 7.4</w:t>
      </w:r>
    </w:p>
    <w:p>
      <w:r>
        <w:t>Gemäss ständiger Rechtsprechung werden Dienstverweigerung und Desertion in Eritrea als Ausdruck einer Regimegegnerschaft qualifiziert und aus politischen Motiven unverhältnismässig streng bestraft, was im Ergebnis einer asylrelevanten Verfolgung gleichkommt (vgl. grundlegend Entscheidungen und Mitteilungen der Schweizerischen Asylrekurskommission [EMARK] 2006 Nr. 3; zusammenfassend zu dieser Praxis BVGE 2015/3 E. 5.7.1 sowie etwa die Urteile des BVGer D-1359/2015 vom 22. August 2017 E. 6.1 und E-3581/2016 vom 13. November 2017 E. 7.1).</w:t>
      </w:r>
    </w:p>
    <w:p>
      <w:r>
        <w:rPr>
          <w:b/>
        </w:rPr>
        <w:t>E. 7.5</w:t>
      </w:r>
    </w:p>
    <w:p>
      <w:r>
        <w:t>Der Beschwerdeführer hat vorliegend glaubhaft gemacht, nach Erhalt des Aufgebotes zum Militärdienst aus Eritrea ausgereist zu sein, sich mithin der Dienstpflicht entzogen zu haben. Indem er seiner Rekrutierung entgangen ist, hat er im Falle einer Rückkehr ins Heimatland begründete Furcht vor ernsthaften Nachteilen im Sinne von Art. 3 AsylG. Da die wegen Dienstverweigerung zu befürchtende Bestrafung durch staatliche Behörden erfolgen würde, steht dem Beschwerdeführer auch keine zumutbare innerstaatliche Schutzalternative zur Verfügung (vgl. dazu BVGE 2011/51 E. 8). Die Voraussetzungen von Art. 3 AsylG sind somit erfüllt. Aus den Akten ergeben sich schliesslich auch keine Hinweise auf das Vorliegen von Asylausschlussgründen gemäss Art. 53 AsylG.</w:t>
      </w:r>
    </w:p>
    <w:p>
      <w:r>
        <w:rPr>
          <w:b/>
        </w:rPr>
        <w:t>E. 8</w:t>
      </w:r>
    </w:p>
    <w:p>
      <w:r>
        <w:t>Insgesamt ergibt sich, dass die Voraussetzungen von Art. 3 und 7 AsylG erfüllt sind. Die Beschwerde ist gutzuheissen. Die angefochtene Verfügung vom 22. November 2017 ist aufzuheben, der Beschwerdeführer als Flüchtling anzuerkennen und die Vorinstanz anzuweisen, ihm in der Schweiz Asyl zu gewähren.</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mit der Eingabe vom 30. Oktober 2018 eine Honorarnote ein. Darin weist er einen zeitlichen Aufwand von 12.50 Stunden à Fr. 300.- sowie Auslagen von Fr. 20.45 aus (total Fr. 4 070.45). Der geltend gemachte zeitliche Aufwand scheint indes zu hoch und ist auf neun Stunden zu kürzen. Die Entschädigung ist somit auf Fr. 2 936.50 (inkl. Mehrwertsteuerzuschlag und Auslagen [Fr. 2 181.30 zu 8%; Fr. 539.15 zu 7.7%]) festzusetzen. Dieser Betrag ist dem Beschwerdeführer folglich als Parteientschädigung zulasten der Vorinstanz zuzusprechen.</w:t>
      </w:r>
    </w:p>
    <w:p>
      <w:r>
        <w:rPr>
          <w:b/>
        </w:rPr>
        <w:t>E. 9.3</w:t>
      </w:r>
    </w:p>
    <w:p>
      <w:r>
        <w:t>Mit vorliegendem Urteil ist die mit Zwischenverfügung vom 5. Januar 2018 gewährte unentgeltliche Prozessführung sowie Verbeiständung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